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6.0.0 -->
  <w:body>
    <w:tbl>
      <w:tblPr>
        <w:tblStyle w:val="MsoTableGrid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6413"/>
      </w:tblGrid>
      <w:tr>
        <w:tblPrEx>
          <w:tblInd w:w="1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1278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10" w:type="dxa"/>
              <w:left w:w="118" w:type="dxa"/>
              <w:bottom w:w="10" w:type="dxa"/>
              <w:right w:w="118" w:type="dxa"/>
            </w:tcMar>
            <w:vAlign w:val="top"/>
          </w:tcPr>
          <w:p>
            <w:pPr>
              <w:pStyle w:val="MsoNormal"/>
              <w:spacing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Документ подписан ЭП 27.01.2021 15:28 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Владелец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: Рабина Антонина Риммовна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ГЛАВА СЕЛЬСКОГО ПОСЕЛЕНИЯ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ВАРМАЗЕЙСКОГО СЕЛЬСКОГО ПОСЕЛЕНИЯ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Сертификат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: 726BBD008BACD280436913DFB8991143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действителен с 08.12.2020 по 08.12.2021</w:t>
            </w:r>
          </w:p>
          <w:p>
            <w:pPr>
              <w:pStyle w:val="MsoNormal"/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Издатель: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"ООО ""КОМПАНИЯ ""ТЕНЗОР""" </w:t>
            </w:r>
          </w:p>
        </w:tc>
      </w:tr>
    </w:tbl>
    <w:p>
      <w:pPr>
        <w:rPr>
          <w:sz w:val="24"/>
          <w:szCs w:val="24"/>
        </w:rPr>
      </w:pPr>
    </w:p>
    <w:tbl>
      <w:tblPr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413"/>
      </w:tblGrid>
      <w:tr>
        <w:tblPrEx>
          <w:tblInd w:w="1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10" w:type="dxa"/>
              <w:left w:w="118" w:type="dxa"/>
              <w:bottom w:w="10" w:type="dxa"/>
              <w:right w:w="11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Документ подписан ЭП 27.01.2021 15:06 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Владелец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: Рабина Антонина Риммовна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ГЛАВА СЕЛЬСКОГО ПОСЕЛЕНИЯ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АДМИНИСТРАЦИЯ ВАРМАЗЕЙСКОГО СЕЛЬСКОГО ПОСЕЛЕНИЯ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: 726BBD008BACD280436913DFB8991143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действителен с 08.12.2020 по 08.12.2021</w:t>
            </w:r>
          </w:p>
          <w:p>
            <w:pPr>
              <w:spacing w:before="24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Издатель: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"ООО ""КОМПАНИЯ ""ТЕНЗОР""" </w:t>
            </w:r>
          </w:p>
        </w:tc>
      </w:tr>
    </w:tbl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Администрация Вармазейского сельского поселения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Большеигнатовского муниципального района Республики Мордовия</w:t>
      </w:r>
    </w:p>
    <w:p>
      <w:pPr>
        <w:widowControl w:val="0"/>
        <w:spacing w:before="0" w:after="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Постановление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i w:val="0"/>
          <w:iCs w:val="0"/>
          <w:caps/>
          <w:sz w:val="32"/>
          <w:szCs w:val="32"/>
        </w:rPr>
        <w:t> </w:t>
      </w:r>
      <w:r>
        <w:rPr>
          <w:i w:val="0"/>
          <w:iCs w:val="0"/>
          <w:caps/>
          <w:sz w:val="32"/>
          <w:szCs w:val="32"/>
        </w:rPr>
        <w:t> </w:t>
      </w:r>
      <w:r>
        <w:rPr>
          <w:i w:val="0"/>
          <w:iCs w:val="0"/>
          <w:caps/>
          <w:sz w:val="32"/>
          <w:szCs w:val="32"/>
        </w:rPr>
        <w:t xml:space="preserve"> 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02 ноября 2020 г.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 </w:t>
      </w: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 xml:space="preserve"> №63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outlineLvl w:val="9"/>
        <w:rPr>
          <w:b/>
          <w:bCs/>
          <w:sz w:val="36"/>
          <w:szCs w:val="36"/>
        </w:rPr>
      </w:pPr>
      <w:r>
        <w:rPr>
          <w:rFonts w:ascii="Arial" w:eastAsia="Arial" w:hAnsi="Arial" w:cs="Arial"/>
          <w:i w:val="0"/>
          <w:iCs w:val="0"/>
          <w:caps/>
          <w:sz w:val="32"/>
          <w:szCs w:val="32"/>
        </w:rPr>
        <w:t>ОБ УСТАНОВЛЕНИИ РАЗМЕРОВ БАЗОВЫХ ОКЛАДОВ (БАЗОВЫХ ДОЛЖНОСТНЫХ ОКЛАДОВ) РАБОТНИКОВ МУНИЦИПАЛЬНЫХ УЧРЕЖДЕНИЙ ВАРМАЗЕЙСКОГО СЕЛЬСКОГО ПОСЕЛЕНИЯ БОЛЬШЕИГНАТОВСКОГО МУНИЦИПАЛЬНОГО РАЙОНА РЕСПУБЛИКИ МОРДОВИЯ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В соответствии со статьей 144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"http://rnla-service.scli.ru:8080/rnla-links/ws/content/act/b11798ff-43b9-49db-b06c-4223f9d555e2.html"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Трудового кодекса Российской Федерации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 xml:space="preserve">, пунктом 2 решения сессии Совета депутатов Вармазейского сельского поселения Большеигнатовского муниципального района №19 от 28.10.2008 года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"http://rnla-service.scli.ru:8080/rnla-links/ws/content/act/85a754d9-24b9-48ff-9b5c-d868f7bbf421.html"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"Об оплате труда работников муниципальных учреждений бюджетной сферы Вармазейского сельского поселения</w:t>
      </w:r>
      <w:r>
        <w:rPr>
          <w:rFonts w:ascii="Arial" w:eastAsia="Arial" w:hAnsi="Arial" w:cs="Arial"/>
          <w:color w:val="0000FF"/>
          <w:u w:val="single"/>
        </w:rPr>
        <w:t> </w:t>
      </w:r>
      <w:r>
        <w:rPr>
          <w:rFonts w:ascii="Arial" w:eastAsia="Arial" w:hAnsi="Arial" w:cs="Arial"/>
          <w:color w:val="0000FF"/>
          <w:u w:val="single"/>
        </w:rPr>
        <w:t xml:space="preserve"> Большеигнатовского муниципального района Республика Мордовия"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>, администрация Вармазейского сельского поселения постановляет: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bookmarkStart w:id="0" w:name="sub_1"/>
      <w:r>
        <w:rPr>
          <w:rFonts w:ascii="Arial" w:eastAsia="Arial" w:hAnsi="Arial" w:cs="Arial"/>
        </w:rPr>
        <w:t>1. Утвердить размеры базовых окладов (базовых должностных окладов) работников муниципальных учреждений Вармазейского сельского поселения Большеигнатовского муниципального района Республики Мордовия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по профессиональным квалификационным группам (далее –ПКГ) согласно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приложению №1.</w:t>
      </w:r>
      <w:bookmarkEnd w:id="0"/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2. Размеры базовых окладов (базовых должностных окладов) работников муниципальных учреждений Вармазейского сельского поселения Большеигнатовского муниципального района Республики Мордовия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 устанавливаются на основе отнесения занимаемых ими должностей к соответствующим профессиональным квалификационным группам,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3. Бухгалтеру администрации Вармазейского сельского поселения Большеигнатовского муниципального района осуществить финансовое обеспечение расходов, связанных с реализацией настоящего постановления в пределах лимитов бюджетных ассигнований, предусмотренных бюджетом Вармазейского сельского поселения Большеигнатовского муниципального района на соответствующий финансовый год.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4. Признать утратившими силу: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- постановление администрации Вармазейского сельского поселения Большеигнатовского муниципального района</w:t>
      </w:r>
      <w:r>
        <w:rPr>
          <w:rFonts w:ascii="Arial" w:eastAsia="Arial" w:hAnsi="Arial" w:cs="Arial"/>
        </w:rPr>
        <w:t xml:space="preserve">  от 24.10.2019 года №66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"http://rnla-service.scli.ru:8080/rnla-links/ws/content/act/cb10065e-6cf1-4803-88c0-225232c94bfe.html"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«Об установлении размеров базовых окладов (базовых должностных окладов) работников муниципальных учреждений Вармазейского сельского поселения Большеигнатовского муниципального района Республики Мордовия»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>;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- постановление администрации Вармазейского сельского поселения Большеигнатовского муниципального района</w:t>
      </w:r>
      <w:r>
        <w:rPr>
          <w:rFonts w:ascii="Arial" w:eastAsia="Arial" w:hAnsi="Arial" w:cs="Arial"/>
        </w:rPr>
        <w:t xml:space="preserve">  от 13.01.2020г.№7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"http://rnla-service.scli.ru:8080/rnla-links/ws/content/act/29203ea3-d08a-4d92-b947-5d034492c209.html"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color w:val="0000FF"/>
          <w:u w:val="single"/>
        </w:rPr>
        <w:t>«О внесении изменений в постановление администрации Вармазейского сельского поселения Большеигнатовского муниципального района  от 24.10.2019 года №66 «Об установлении размеров базовых окладов (базовых должностных окладов) работников муниципальных учреждений Вармазейского сельского поселения Большеигнатовского муниципального района Республики Мордовия»</w:t>
      </w:r>
      <w:r>
        <w:rPr>
          <w:rFonts w:ascii="Arial" w:eastAsia="Arial" w:hAnsi="Arial" w:cs="Arial"/>
          <w:color w:val="0000FF"/>
          <w:u w:val="single"/>
        </w:rPr>
        <w:fldChar w:fldCharType="end"/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bookmarkStart w:id="1" w:name="sub_3"/>
      <w:r>
        <w:rPr>
          <w:rFonts w:ascii="Arial" w:eastAsia="Arial" w:hAnsi="Arial" w:cs="Arial"/>
        </w:rPr>
        <w:t>5. Настоящее постановление вступает в силу с 1 октября 2020 года и подлежит официальному опубликованию.</w:t>
      </w:r>
      <w:bookmarkEnd w:id="1"/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Глава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А.Р.Рабина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ПРИЛОЖЕНИЕ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1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к постановлению администрации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Вармазейского сельского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Большеигнатовского муниципального района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outlineLvl w:val="9"/>
        <w:rPr>
          <w:b/>
          <w:bCs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от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> </w:t>
      </w:r>
      <w:r>
        <w:rPr>
          <w:rFonts w:ascii="Arial" w:eastAsia="Arial" w:hAnsi="Arial" w:cs="Arial"/>
          <w:b w:val="0"/>
          <w:bCs w:val="0"/>
          <w:i w:val="0"/>
          <w:sz w:val="24"/>
          <w:szCs w:val="24"/>
        </w:rPr>
        <w:t xml:space="preserve"> 02.11.2020 г. №63</w:t>
      </w:r>
    </w:p>
    <w:p>
      <w:pPr>
        <w:spacing w:before="240" w:after="24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Базовые должностные оклады</w:t>
      </w:r>
      <w:r>
        <w:rPr>
          <w:rFonts w:ascii="Arial" w:eastAsia="Arial" w:hAnsi="Arial" w:cs="Arial"/>
          <w:i w:val="0"/>
          <w:iCs w:val="0"/>
          <w:sz w:val="24"/>
          <w:szCs w:val="24"/>
        </w:rPr>
        <w:br/>
      </w:r>
      <w:r>
        <w:rPr>
          <w:rFonts w:ascii="Arial" w:eastAsia="Arial" w:hAnsi="Arial" w:cs="Arial"/>
          <w:i w:val="0"/>
          <w:iCs w:val="0"/>
          <w:sz w:val="24"/>
          <w:szCs w:val="24"/>
        </w:rPr>
        <w:t>работников муниципальных учреждений Вармазейского сельского поселения Большеигнатовского муниципального района Республики Мордовия по общеотраслевым должностям руководителей, специалистов и служащих</w:t>
      </w:r>
    </w:p>
    <w:p>
      <w:pPr>
        <w:widowControl w:val="0"/>
        <w:spacing w:before="0" w:after="0"/>
        <w:ind w:firstLine="72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tbl>
      <w:tblPr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374"/>
        <w:gridCol w:w="3315"/>
      </w:tblGrid>
      <w:tr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Перечень должностей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Размер базового должностного оклада, рублей</w:t>
            </w:r>
          </w:p>
        </w:tc>
      </w:tr>
      <w:tr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2504</w:t>
            </w:r>
          </w:p>
        </w:tc>
      </w:tr>
      <w:tr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2753</w:t>
            </w:r>
          </w:p>
        </w:tc>
      </w:tr>
      <w:tr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3383</w:t>
            </w:r>
          </w:p>
        </w:tc>
      </w:tr>
      <w:tr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5397</w:t>
            </w:r>
          </w:p>
        </w:tc>
      </w:tr>
    </w:tbl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240" w:lineRule="atLeast"/>
        <w:ind w:firstLine="709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БАЗОВЫЕ ДОЛЖНОСТНЫЕ ОКЛАДЫ РАБОТНИКОВ МУНИЦИПАЛЬНЫХ УЧРЕЖДЕНИЙ ВАРМАЗЕЙСКОГО СЕЛЬСКОГО ПОСЕЛЕНИЯ БОЛЬШЕИГНАТОВСКОГО МУНИЦИПАЛЬНОГО РАЙОНА РЕСПУБЛИКИ МОРДОВИЯ ПО ОБЩЕОТРАСЛЕВЫМ ПРОФЕССИЯМ РАБОЧИХ.</w:t>
      </w:r>
    </w:p>
    <w:p>
      <w:pPr>
        <w:pStyle w:val="Heading5"/>
        <w:shd w:val="clear" w:color="auto" w:fill="FFFFFF"/>
        <w:spacing w:before="0" w:after="0" w:line="240" w:lineRule="atLeast"/>
        <w:ind w:firstLine="709"/>
        <w:jc w:val="center"/>
        <w:outlineLvl w:val="9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4"/>
          <w:szCs w:val="24"/>
        </w:rPr>
        <w:t> </w:t>
      </w:r>
    </w:p>
    <w:tbl>
      <w:tblPr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480"/>
        <w:gridCol w:w="3209"/>
      </w:tblGrid>
      <w:tr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Перечень профессий рабочих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Размер базового должностного оклада, рублей</w:t>
            </w:r>
          </w:p>
        </w:tc>
      </w:tr>
      <w:tr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Профессии рабочих, отнесенные к ПКГ "Общеотраслевые профессии рабочих первого уровня"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2398</w:t>
            </w:r>
          </w:p>
        </w:tc>
      </w:tr>
      <w:tr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Профессии рабочих, отнесенные к ПКГ "Общеотраслевые профессии рабочих второго уровня"</w:t>
            </w:r>
          </w:p>
        </w:tc>
        <w:tc>
          <w:tcPr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FFFFFF"/>
              <w:spacing w:before="0" w:after="0" w:line="240" w:lineRule="atLeast"/>
              <w:ind w:firstLine="709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2753</w:t>
            </w:r>
          </w:p>
        </w:tc>
      </w:tr>
    </w:tbl>
    <w:p>
      <w:pPr>
        <w:widowControl w:val="0"/>
        <w:spacing w:before="0" w:after="0"/>
        <w:ind w:firstLine="72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69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>
      <w:pPr>
        <w:widowControl w:val="0"/>
        <w:spacing w:before="0" w:after="0"/>
        <w:ind w:firstLine="72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">
    <w:name w:val="MsoNormal"/>
    <w:basedOn w:val="Normal"/>
  </w:style>
  <w:style w:type="table" w:customStyle="1" w:styleId="MsoTableGrid">
    <w:name w:val="MsoTableGrid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