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left="-180"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E08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 ВАРМАЗЕЙСКОГО СЕЛЬСКОГО ПОСЕЛЕНИЯ БОЛЬШЕИГНАТОВСКОГО МУНИЦИПАЛЬНОГО РАЙОНА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left="-180"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E08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РЕСПУБЛИКИ МОРДОВИЯ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E08BD" w:rsidRPr="008E08BD" w:rsidRDefault="008E08BD" w:rsidP="008E08BD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tLeast"/>
        <w:ind w:right="284" w:firstLine="720"/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8E08BD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ПОСТАНОВЛЕНИЕ</w:t>
      </w:r>
    </w:p>
    <w:p w:rsidR="008E08BD" w:rsidRPr="008E08BD" w:rsidRDefault="008E08BD" w:rsidP="008E08BD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tLeast"/>
        <w:ind w:right="284"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left="-1134" w:firstLine="113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E08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</w:t>
      </w:r>
      <w:r w:rsidR="00991A1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27</w:t>
      </w:r>
      <w:r w:rsidRPr="008E08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декабря 202</w:t>
      </w:r>
      <w:r w:rsidR="00991A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8E08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г.                                                                            №</w:t>
      </w:r>
      <w:r w:rsidR="00991A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80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left="-1134" w:firstLine="113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E08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с. </w:t>
      </w:r>
      <w:proofErr w:type="spellStart"/>
      <w:r w:rsidRPr="008E08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Вармазейка</w:t>
      </w:r>
      <w:proofErr w:type="spellEnd"/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E08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продлении срока реализации и внесении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изминений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8E08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в постановление администрации </w:t>
      </w:r>
      <w:proofErr w:type="spellStart"/>
      <w:r w:rsidRPr="008E08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Вармазейского</w:t>
      </w:r>
      <w:proofErr w:type="spellEnd"/>
      <w:r w:rsidRPr="008E08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30</w:t>
      </w:r>
      <w:r w:rsidRPr="008E08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.12.20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21</w:t>
      </w:r>
      <w:r w:rsidRPr="008E08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г.№73 «Об утверждении муниципальной </w:t>
      </w:r>
      <w:r w:rsidR="00991A1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</w:t>
      </w:r>
      <w:r w:rsidRPr="008E08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рограммы </w:t>
      </w:r>
      <w:proofErr w:type="spellStart"/>
      <w:r w:rsidRPr="008E08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Вармазейского</w:t>
      </w:r>
      <w:proofErr w:type="spellEnd"/>
      <w:r w:rsidRPr="008E08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8E08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муниципального района Республики Мордовия «Комплексное развитие сельских территорий»</w:t>
      </w:r>
      <w:r w:rsidR="004E23C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на период до 2027года</w:t>
      </w:r>
    </w:p>
    <w:p w:rsidR="008E08BD" w:rsidRPr="008E08BD" w:rsidRDefault="008E08BD" w:rsidP="008E08BD">
      <w:pPr>
        <w:autoSpaceDE w:val="0"/>
        <w:autoSpaceDN w:val="0"/>
        <w:adjustRightInd w:val="0"/>
        <w:spacing w:after="0" w:line="240" w:lineRule="auto"/>
        <w:ind w:right="1982" w:firstLine="540"/>
        <w:jc w:val="both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8E08BD" w:rsidRPr="008E08BD" w:rsidRDefault="008E08BD" w:rsidP="008E08B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E08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8E08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8E08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Вармазейского</w:t>
      </w:r>
      <w:proofErr w:type="spellEnd"/>
      <w:r w:rsidRPr="008E08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Pr="008E08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Вармазейского</w:t>
      </w:r>
      <w:proofErr w:type="spellEnd"/>
      <w:r w:rsidRPr="008E08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постановляет:</w:t>
      </w:r>
    </w:p>
    <w:p w:rsidR="008E08BD" w:rsidRPr="008E08BD" w:rsidRDefault="008E08BD" w:rsidP="008E08B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91A10" w:rsidRPr="00BE6048" w:rsidRDefault="00991A10" w:rsidP="00991A10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 xml:space="preserve">          </w:t>
      </w:r>
      <w:r w:rsidRPr="00A60DFC"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 xml:space="preserve">1.Продлить срок реализации муниципальной программы </w:t>
      </w:r>
      <w:r w:rsidRPr="00991A10"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>«</w:t>
      </w:r>
      <w:r w:rsidRPr="00991A1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Комплексное развитие сельских территорий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 w:rsidRPr="00C7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утвержденную</w:t>
      </w:r>
      <w:proofErr w:type="gramEnd"/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постановлением администрации </w:t>
      </w:r>
      <w:proofErr w:type="spellStart"/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Вармазейского</w:t>
      </w:r>
      <w:proofErr w:type="spellEnd"/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30.12</w:t>
      </w: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>г.№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73</w:t>
      </w: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BE6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991A10" w:rsidRPr="00A60DFC" w:rsidRDefault="00991A10" w:rsidP="00991A10">
      <w:pPr>
        <w:shd w:val="clear" w:color="auto" w:fill="FFFFFF"/>
        <w:spacing w:before="150" w:after="150" w:line="240" w:lineRule="auto"/>
        <w:ind w:firstLine="800"/>
        <w:jc w:val="both"/>
        <w:outlineLvl w:val="3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2. Внести изменения в муниципальную программу  </w:t>
      </w:r>
      <w:r w:rsidRPr="00991A10"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>«</w:t>
      </w:r>
      <w:r w:rsidRPr="00991A1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Комплексное развитие сельских территорий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изложив её в новой редакции. </w:t>
      </w:r>
    </w:p>
    <w:p w:rsidR="00991A10" w:rsidRPr="00A60DFC" w:rsidRDefault="00991A10" w:rsidP="00991A10">
      <w:pPr>
        <w:widowControl w:val="0"/>
        <w:tabs>
          <w:tab w:val="left" w:pos="0"/>
        </w:tabs>
        <w:suppressAutoHyphens/>
        <w:spacing w:after="0" w:line="240" w:lineRule="auto"/>
        <w:ind w:right="-104"/>
        <w:jc w:val="both"/>
        <w:rPr>
          <w:rFonts w:ascii="Arial" w:eastAsia="Calibri" w:hAnsi="Arial" w:cs="Arial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          </w:t>
      </w:r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3. </w:t>
      </w:r>
      <w:proofErr w:type="gramStart"/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</w:t>
      </w:r>
      <w:r w:rsidRPr="00A60DFC">
        <w:rPr>
          <w:rFonts w:ascii="Arial" w:eastAsia="Calibri" w:hAnsi="Arial" w:cs="Arial"/>
          <w:kern w:val="1"/>
          <w:sz w:val="28"/>
          <w:szCs w:val="28"/>
          <w:lang w:eastAsia="hi-IN" w:bidi="hi-IN"/>
        </w:rPr>
        <w:t>.</w:t>
      </w:r>
    </w:p>
    <w:p w:rsidR="00991A10" w:rsidRPr="00A60DFC" w:rsidRDefault="00991A10" w:rsidP="00991A10">
      <w:pPr>
        <w:widowControl w:val="0"/>
        <w:suppressAutoHyphens/>
        <w:spacing w:after="0" w:line="240" w:lineRule="auto"/>
        <w:ind w:right="-185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          </w:t>
      </w:r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4. Настоящее постановление вступает в силу со дня его официального опубликования</w:t>
      </w:r>
      <w:proofErr w:type="gramStart"/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.</w:t>
      </w:r>
      <w:proofErr w:type="gramEnd"/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E08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E08BD" w:rsidRPr="008E08BD" w:rsidRDefault="008E08BD" w:rsidP="008E08BD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E08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сельского поселения</w:t>
      </w:r>
      <w:r w:rsidRPr="008E08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       </w:t>
      </w:r>
      <w:proofErr w:type="spellStart"/>
      <w:r w:rsidRPr="008E08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А.Р.Рабина</w:t>
      </w:r>
      <w:proofErr w:type="spellEnd"/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left="7088" w:right="-24" w:hanging="584"/>
        <w:jc w:val="both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141"/>
        <w:tblW w:w="0" w:type="auto"/>
        <w:tblLook w:val="04A0" w:firstRow="1" w:lastRow="0" w:firstColumn="1" w:lastColumn="0" w:noHBand="0" w:noVBand="1"/>
      </w:tblPr>
      <w:tblGrid>
        <w:gridCol w:w="7294"/>
      </w:tblGrid>
      <w:tr w:rsidR="008E08BD" w:rsidRPr="008E08BD" w:rsidTr="008E08BD">
        <w:trPr>
          <w:trHeight w:val="332"/>
        </w:trPr>
        <w:tc>
          <w:tcPr>
            <w:tcW w:w="7294" w:type="dxa"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sub_1000"/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91A10" w:rsidRDefault="00991A10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1A10" w:rsidRDefault="00991A10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1A10" w:rsidRDefault="00991A10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1A10" w:rsidRDefault="00991A10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1A10" w:rsidRDefault="00991A10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1A10" w:rsidRDefault="00991A10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1A10" w:rsidRDefault="00991A10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1A10" w:rsidRDefault="00991A10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УТВЕРЖДЁННАЯ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Мордовия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9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99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99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 программа </w:t>
      </w:r>
      <w:proofErr w:type="spellStart"/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муниципального района Республики Мордовия</w:t>
      </w: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«Комплексное развитие сельских территорий»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</w:r>
      <w:bookmarkEnd w:id="0"/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муниципальной программы </w:t>
      </w:r>
      <w:proofErr w:type="spellStart"/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сельского поселения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proofErr w:type="spellStart"/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муниципального района Республики Мордовия</w:t>
      </w: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«Комплексное развитие сельских территорий»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2"/>
        <w:gridCol w:w="5438"/>
      </w:tblGrid>
      <w:tr w:rsidR="008E08BD" w:rsidRPr="008E08BD" w:rsidTr="008E08BD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сельских территорий (далее – Муниципальная  программа)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" w:name="sub_1112"/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Ответственный исполнитель муниципальной  программы</w:t>
            </w:r>
            <w:bookmarkEnd w:id="1"/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Республики Мордовия</w:t>
            </w:r>
          </w:p>
        </w:tc>
      </w:tr>
      <w:tr w:rsidR="008E08BD" w:rsidRPr="008E08BD" w:rsidTr="008E08BD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7020034"/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Участники Муниципальной программы</w:t>
            </w:r>
            <w:bookmarkEnd w:id="2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Республики Мордовия, ИП КФХ «Кабаев В.Ю.» (по согласованию)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и развитие инфраструктуры на сельских территориях».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1 – сохранение доли сельского населения в общей численности населения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 на уровне не менее 100 процентов в 202</w:t>
            </w:r>
            <w:r w:rsidR="0099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2017 году (базовый год) – 100 процентов; 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100 процентов;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– 100 процентов;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– 100 процентов;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100 процентов;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–100 процентов;</w:t>
            </w:r>
          </w:p>
          <w:p w:rsid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–100 процентов.</w:t>
            </w:r>
          </w:p>
          <w:p w:rsidR="00991A10" w:rsidRDefault="00991A10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году-100 процентов</w:t>
            </w:r>
          </w:p>
          <w:p w:rsidR="00991A10" w:rsidRPr="008E08BD" w:rsidRDefault="00991A10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в2027 году-100 процентов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2 – достижение соотношения среднемесячных располагаемых ресурсов 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домохозяйства до 100 процентов в 202</w:t>
            </w:r>
            <w:r w:rsidR="0099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г.; 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2017 году (базовый год) – 94,5 процента; 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95 процентов;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– 96 процента;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– 97 процента;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98 процента;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99 процента;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100 процентов.</w:t>
            </w:r>
          </w:p>
          <w:p w:rsidR="00991A10" w:rsidRPr="008E08BD" w:rsidRDefault="00991A10" w:rsidP="00991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100 процентов.</w:t>
            </w:r>
          </w:p>
          <w:p w:rsidR="00991A10" w:rsidRPr="008E08BD" w:rsidRDefault="00991A10" w:rsidP="00991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100 процентов.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1114"/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  <w:bookmarkEnd w:id="3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создания комфортных условий жизнедеятельности в сельской местности за счет: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развития социальной инфраструктуры на сельских территориях;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благоустройства сельских территорий;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115"/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  <w:bookmarkEnd w:id="4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1 общественно-значимого проекта по благоустройству территорий (обустройство детской спортивно-игровой площадки в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Мордовия);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2 инициативных проекта комплексного развития сельских территорий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-обустройство зоны отдыха в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-обустройство территории памятника участникам Великой Отечественной 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E0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1945 </w:t>
              </w:r>
              <w:proofErr w:type="spellStart"/>
              <w:r w:rsidRPr="008E0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2020 – 31 декабря 202</w:t>
            </w:r>
            <w:r w:rsidR="0099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годы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1117"/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Объемы финансирования Муниципальной  программы</w:t>
            </w:r>
            <w:bookmarkEnd w:id="5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 программы составит: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всех источников финансирования – </w:t>
            </w:r>
            <w:r w:rsidR="0088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3634280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рублей, в том числе: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–2364640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 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–1269680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</w:t>
            </w:r>
            <w:r w:rsidR="00D0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</w:p>
          <w:p w:rsid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  рублей,</w:t>
            </w:r>
          </w:p>
          <w:p w:rsidR="00991A10" w:rsidRDefault="00991A10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год-0  рублей</w:t>
            </w:r>
          </w:p>
          <w:p w:rsidR="00991A10" w:rsidRPr="008E08BD" w:rsidRDefault="00991A10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год-0  рублей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республиканского бюджета Республики Мордовия – </w:t>
            </w:r>
            <w:r w:rsidR="0088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2543700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 рублей, в том числе: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 – 1655000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–88877</w:t>
            </w:r>
            <w:r w:rsidR="0088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 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 тыс.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местных бюджетов –        </w:t>
            </w:r>
            <w:r w:rsidR="0088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404622,86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рублей, в том числе: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23642,86  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</w:t>
            </w:r>
            <w:r w:rsidR="0088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380980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  тыс.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  тыс.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– </w:t>
            </w:r>
            <w:r w:rsidR="0088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685997,14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рублей, в том числе: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685997,14  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88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 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 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подпрограмме «Создание и развитие инфраструктуры на сельских территориях» составляет </w:t>
            </w:r>
            <w:r w:rsidR="0088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3634280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Муниципальной программы подлежит ежегодному уточнению, исходя из реальных возможностей бюджетов всех уровней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1118"/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Ожидаемые результаты реализации  Муниципальной программы</w:t>
            </w:r>
            <w:bookmarkEnd w:id="6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образований в реализации: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- 1 общественно-значимого проекта по благоустройству территорий(обустройство детской спортивно-игровой площадки в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 );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- 2 инициативных проекта комплексного развития сельских территорий: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-обустройство зоны отдыха в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территории памятника участникам Великой Отечественной 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E0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1945 </w:t>
              </w:r>
              <w:proofErr w:type="spellStart"/>
              <w:r w:rsidRPr="008E0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Мордовия.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8BD" w:rsidRPr="008E08BD" w:rsidRDefault="008E08BD" w:rsidP="008E08BD">
      <w:pPr>
        <w:shd w:val="clear" w:color="auto" w:fill="FFFFFF"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8E08BD" w:rsidRPr="008E08BD" w:rsidRDefault="008E08BD" w:rsidP="008E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Главным приоритетом Муниципальной программы является особое внимание социальному и инфраструктурному развитию сельских территорий, решение которого должно качественно изменить жизнь сельских жителей, приблизить условия проживания в сельской местности к уровню городов.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Муниципальной программа определяет цели, задачи и направления комплексному развитию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100"/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Общая характеристика сферы реализации </w:t>
      </w: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</w:t>
      </w: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программы, основные проблемы и прогноз комплексного развития сельских территорий Республики Мордовия до 202</w:t>
      </w:r>
      <w:r w:rsidR="00882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bookmarkEnd w:id="7"/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на современном этапе характеризуется увеличением внимания со стороны Республики к комплексному развитию сельских территорий.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Осуществления стратегических социально-экономических преобразований в республике, в том числе принятия мер по созданию предпосылок для комплексного развития сельских территорий путем: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повышения уровня комфортности условий жизнедеятельности;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повышения доступности улучшения жилищных условий для сельского населения;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улучшения демографической ситуации;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развития в сельской местности местного самоуправления и институтов гражданского общества.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1. Общая характеристика состояния и основные проблемы комплексного развития сельских территорий </w:t>
      </w:r>
      <w:proofErr w:type="spellStart"/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экономических преобразований в аграрной сфере сформирован и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 государственной аграрной политики, что закреплено в </w:t>
      </w:r>
      <w:hyperlink r:id="rId7" w:anchor="/document/12151309/entry/0" w:history="1">
        <w:r w:rsidRPr="008E08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Федеральном законе</w:t>
        </w:r>
      </w:hyperlink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06 г"/>
        </w:smartTagPr>
        <w:r w:rsidRPr="008E08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 г</w:t>
        </w:r>
      </w:smartTag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264-ФЗ «О развитии сельского хозяйства».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повышение роли и конкурентоспособности муниципального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селе: более полного использования имеющихся трудовых ресурсов,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трудоресурсного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села.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инфраструктуры, автомобильных дорог в сельской местности, преобладание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дотационности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бюджетов на уровне сельских поселений, высокий уровень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затратности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В результате на селе сложилась неблагоприятная демографическая ситуация, прогрессирует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обезлюдение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территорий, преобладает низкий уровень развития инженерной и социальной инфраструктуры, автомобильных дорог. Этому способствует также крайне низкий уровень комфортности проживания в сельской местности.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в 2 – 3 раза ниже городского уровня.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могут быть признаны удовлетворительными и темпы обеспечения жильем граждан, молодых семей и молодых специалистов, признанных нуждающимися в улучшении жилищных условий.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трудоресурсного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аграрной отрасли.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перехода от  программно-целевого метода к проектному подходу решения имеющихся на сельских территориях экономических, социальных и экологических задач посредством широкого спектра финансовых инструментов, основными из которых будут выступать концессионные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контракты жизненного цикла, инструменты по защите и поощрение капиталовложений.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использования программно-целевого подхода являются позитивные изменения в комплексном развитии сельских территорий в ходе реализации муниципальной программы «Устойчивое развитие сельских территорий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на 2014 – 2017 годы и на период до 2020 года»,  утвержденной </w:t>
      </w:r>
      <w:hyperlink r:id="rId8" w:anchor="/document/8921364/entry/0" w:history="1">
        <w:r w:rsidRPr="008E08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от 16 сентября 2013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года_г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476,  муниципальной программы «Социальное развитие села до 2013 года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Программы),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2003 – 2018 годы в рамках реализации программных мероприятий на строительство жилья  государственную поддержку на улучшение жилищных условий получило 3 сельских семьи, в том числе 3 молодых семьи и молодых специалистов. Введено в эксплуатацию 314,0  кв. метров жилья общей площади.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Целесообразность использования проектного подхода при реализации Муниципальной программы, устанавливающей социально-экономические показатели для сельских территорий, обуславливается: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отличительными особенностями территорий и необходимостью выработки отдельных инструментов для решений задач, взаимоувязанных с приоритетами социально-экономического развития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части повышения уровня и качества жизни населения;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необходимостью повышения инициативности местного населения и предпринимательского сообщества для участия в формулировании четких целей развития и обеспечения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достижением;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высоким уровнем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затратности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накопившихся проблем села, делающим невозможным их решение только за счёт средств государственной поддержки без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местного населения и предпринимателей.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Прогноз комплексного развития сельских территорий </w:t>
      </w:r>
      <w:proofErr w:type="spellStart"/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Республики Мордовия  до 202</w:t>
      </w:r>
      <w:r w:rsidR="00D0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Комплексное развитие сельских территорий является одним из наиболее приоритетных направлений социально-экономической политики администрации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в рассматриваемой перспективе.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Динамика комплексного развития сельских территорий на период до 202</w:t>
      </w:r>
      <w:r w:rsidR="00D01C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будет формироваться под воздействием принятых в последние годы мер. В то же время сохраняется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сельских территорий.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прогнозном периоде наметятся следующие значимые тенденции: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бюджетных инвестиций в объекты муниципальной собственности;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механизмов государственно-частного партнерства и привлечение дополнительных средств внебюджетных источников для финансирования мероприятий Муниципальной программы, включая средства населения и организаций.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Муниципальная  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 реализации Муниципальной  программы основывается на достижении уровней ее основных показателей (индикаторов).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части основных показателей Государственной программы прогнозируются: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реализовать 1 общественно-значимый проект по благоустройству территорий(обустройство детской спортивно-игровой площадки в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армазейка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Мордовия);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реализовать 2 инициативных проекта комплексного развития сельских территорий: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-обустройство зоны отдыха в с.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Вармазейка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обустройство территории памятника участникам 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Pr="008E08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1945 </w:t>
        </w:r>
        <w:proofErr w:type="spellStart"/>
        <w:r w:rsidRPr="008E08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Вармазейка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Мордовия.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sub_1200"/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Приоритеты государственной политики в сфере реализации </w:t>
      </w: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Муниципальной  </w:t>
      </w: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программы, цели, задачи и показатели (индикаторы) реализации </w:t>
      </w: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Муниципальной </w:t>
      </w: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программы, основные ожидаемые результаты и сроки реализации </w:t>
      </w: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</w:t>
      </w: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программы</w:t>
      </w:r>
    </w:p>
    <w:bookmarkEnd w:id="8"/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sub_30"/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3. Приоритеты государственной политики в сфере реализации </w:t>
      </w: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</w:t>
      </w: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программы</w:t>
      </w:r>
    </w:p>
    <w:bookmarkEnd w:id="9"/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положительный эффект от реализации Программ,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использования проектного подхода сложившаяся на сельских территориях проблемная ситуация усугубится, что ставит по угрозу выполнение стратегических задач социально-экономического развития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использования проектного подхода для решения задачи по устойчивому развитию сельских территорий подкреплена: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взаимосвязью целевых установок комплексного развития сельских территорий с приоритетами социально-экономического развития Республики Мордовия в части повышения уровня и качества жизни на селе, создания социальных основ для экономического роста аграрного 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других секторов экономики;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высоким уровнем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затратности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накопившихся проблем села, требующим привлечения средств государственной поддержки.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комплексное развитие сельских территорий отнесено к числу приоритетных направлений государственной политики, инструментом реализации которых является настоящая Муниципальная  программа.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4. Цели и задачи </w:t>
      </w: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</w:t>
      </w: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 программа разработана для достижения следующих целей: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сохранение доли сельского населения в общей численности населения Республики Мордовия на уровне не менее 100 процентов в 202</w:t>
      </w:r>
      <w:r w:rsidR="00D01C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достижение соотношения среднемесячных располагаемых ресурсов сельского домохозяйства до 100 процентов в 202</w:t>
      </w:r>
      <w:r w:rsidR="00D01C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 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доли общей площади благоустроенных жилых помещений в сельских населенных пунктах до 50 процентов в 202</w:t>
      </w:r>
      <w:r w:rsidR="00D01C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Муниципальной  программы предлагается решение следующих задач: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создания комфортных условий жизнедеятельности в сельской местности за счет: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развития социальной инфраструктуры на сельских территориях;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благоустройства сельских территорий;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Муниципальной  программы будет осуществляться с учетом следующих подходов: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Муниципальной  программы, включая средства населения и организаций.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404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проектно-сметной документации по созданию объектов социальной инфраструктуры будут использоваться современные технологии развития.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0"/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 Показатели (индикаторы) реализации</w:t>
      </w: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Муниципальной</w:t>
      </w: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программы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(индикаторы) реализации Муниципальной программы оцениваются в целом для Муниципальной  программы.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показатели (индикаторы) предназначены для оценки наиболее существенных результатов реализации Муниципальной программы.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503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общим показателям (индикаторам) Муниципальной программы относятся: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End w:id="11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1 общественно-значимого проекта по благоустройству территорий(обустройство детской спортивно-игровой площадки в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армазейка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); 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инициативного проекта комплексного развития сельских территорий: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-обустройство зоны отдыха в с.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Вармазейка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обустройство территории памятника участникам 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Pr="008E08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1945 </w:t>
        </w:r>
        <w:proofErr w:type="spellStart"/>
        <w:r w:rsidRPr="008E08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Вармазейка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Мордовия.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 (индикаторов) Муниципальной Программы изложен в Приложении 3 к Муниципальной программе.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6. Основные ожидаемые конечные результаты и сроки реализации </w:t>
      </w: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</w:t>
      </w: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программы 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 программы будет осуществляться в 2020 – 202</w:t>
      </w:r>
      <w:r w:rsidR="00D01C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и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605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Муниципальной программы планируется:</w:t>
      </w:r>
    </w:p>
    <w:bookmarkEnd w:id="12"/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реализовать 1 общественно-значимый проект по благоустройству территорий(обустройство детской спортивно-игровой площадки в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армазейка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);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реализовать 1 инициативный проект комплексного развития сельских территорий: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-обустройство зоны отдыха в с.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Вармазейка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обустройство территории памятника участникам 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Pr="008E08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1945 </w:t>
        </w:r>
        <w:proofErr w:type="spellStart"/>
        <w:r w:rsidRPr="008E08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Вармазейка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Мордовия.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sub_1300"/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Обобщенная характеристика основных мероприятий </w:t>
      </w: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</w:t>
      </w: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bookmarkEnd w:id="13"/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Муниципальной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 с учетом анализа современного состояния и прогнозов развития сельских территорий, итогов реализации Программ, а также с учетом комплексного подхода к решению социально-экономических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документов территориального планирования.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задач Муниципальной программы предусмотрено в рамках реализации подпрограммы, входящей в состав Муниципальной  программы: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 подпрограмма «Создание и развитие инфраструктуры на сельских территориях»;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Подпрограмма «Создание и развитие инфраструктуры на сельских территориях» предусматривает реализацию следующих основных направлений (мероприятий) Администрацией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совместно с Министерством сельского хозяйства и продовольствия Республики Мордовия, Министерством строительства, транспорта и дорожного хозяйства Республики: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1)  благоустройство сельских территорий;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2)  современный облик сельских территорий.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«Благоустройство сельских территорий» предусматривает реализацию Администрацией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совместно с Министерством сельского хозяйства и продовольствия Республики Мордовия путем предоставления Администрации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или территориальным общественным самоуправлениям (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ТОСам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субсидий на реализацию мероприятий по поддержке местных инициатив граждан, проживающих на сельских территориях. Комплекс вопросов, предполагаемых к решению в рамках данного мероприятия, включает: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обустройство зон отдыха, спортивных и детских игровых площадок;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освещения территории, включая архитектурную подсветку зданий, строений,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 использованием энергосберегающих технологий;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пешеходных коммуникаций, в том числе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трутуаров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аллей, дорожек, тропинок; 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ливневых стоков;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обустройство общественных колодцев и водоразборных колонок;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площадок накопления твёрдых коммунальных отходов;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восстановление природных ландшафтов и историко-культурных памятников.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реконструкция (модернизация) и капитальный ремонт объектов социальной и культурной сферы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дошкольных образований, общеобразовательных организаций, объектов в сфере культуры, спортивных сооружений),объектов социального назначения, центров культурного развития и развития традиционных промыслов и ремесел(строительство центров народно-художественных промыслов, ремесленной деятельности, сельского туризма, организация художественных промыслов, входящих в перечень организаций народных художественных 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промыслов, поддержка которых осуществляется за счёт средств федерального бюджета, утверждённый в соответствии со ст.4 федерального Закона от 06.01.1996 г.№7-ФЗ «О народных художественных промыслах»;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BD">
        <w:rPr>
          <w:rFonts w:ascii="Times New Roman" w:eastAsia="Times New Roman" w:hAnsi="Times New Roman" w:cs="Times New Roman"/>
          <w:sz w:val="24"/>
          <w:szCs w:val="24"/>
        </w:rPr>
        <w:t>приобретение транспортных средств и оборудования (не бывшего в употреблении или эксплуатации) для обеспечения функционирования существующих или эксплуатации объектов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</w:rPr>
        <w:t>создаваемых в рамках проектов (автобусов, оборудования(компьютерная и периферийная техника)для предоставления дистанционных услуг(включая расширения государственных, образовательных, коммерческих услуг));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BD">
        <w:rPr>
          <w:rFonts w:ascii="Times New Roman" w:eastAsia="Times New Roman" w:hAnsi="Times New Roman" w:cs="Times New Roman"/>
          <w:sz w:val="24"/>
          <w:szCs w:val="24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BD">
        <w:rPr>
          <w:rFonts w:ascii="Times New Roman" w:eastAsia="Times New Roman" w:hAnsi="Times New Roman" w:cs="Times New Roman"/>
          <w:sz w:val="24"/>
          <w:szCs w:val="24"/>
        </w:rPr>
        <w:t xml:space="preserve">развитие жилищно-коммунальных объектов (строительство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</w:rPr>
        <w:t>блочно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</w:rPr>
        <w:t>-модульных котельных и перевод многоквартирных жилых домов на индивидуальное отопление);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BD">
        <w:rPr>
          <w:rFonts w:ascii="Times New Roman" w:eastAsia="Times New Roman" w:hAnsi="Times New Roman" w:cs="Times New Roman"/>
          <w:sz w:val="24"/>
          <w:szCs w:val="24"/>
        </w:rPr>
        <w:t>развитие энергообеспечения, строительство и оборудование автономных и возобновляемых источников энергии с применением технологий энергосбережения;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</w:rPr>
        <w:t>развитие телекоммуникаций (приобретение и монтаж оборудования, строительство линий передачи данных, обеспечивающих возможность подключения к сети «Интернет»)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Исполнителями мероприятий Муниципальной программы направляемых на реализацию подпрограммы, является Администрация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предусматривает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Муниципальной программы при формировании прогноза бюджета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на очередной финансовый год.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Характеристика мер государственного и правового регулирования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выполнении мероприятий Муниципальной программы по мере необходимости ответственный исполнитель и участник Муниципальной программы принимают нормативные акты в соответствии со своими полномочиями.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Обоснование выделения подпрограмм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Комплексный характер целей и задач Муниципальной программы обусловливает целесообразность использования проектного подхода для скоординированного достижения взаимосвязанных целей и решения соответствующих им задач в целом по Муниципальной программе.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2003 года основными инструментами достижения целей в сфере развития сельских территорий являлась Муниципальная целевая программа «Социальное развитие села до 2013 года». С 2014 года реализация мероприятий по социальному обустройству села продолжилась в рамках муниципальной программы «Устойчивое развитие сельских территорий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на 2014 – 2017 годы и на период до 202</w:t>
      </w:r>
      <w:r w:rsidR="00D01C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Муниципальной Программы изложен в Приложении 5 к Муниципальной программе.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Обоснование объема финансовых ресурсов, необходимых для реализации Государственной программы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Финансирование мероприятий Муниципальной программы осуществляется за счет средств республиканского бюджета Республики Мордовия, местных бюджетов и внебюджетных источников.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Общий объем финансового обеспечения реализации Муниципальной  программы в 2020 – 202</w:t>
      </w:r>
      <w:r w:rsidR="00D01C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годах составляет за счет всех источников финансирования – </w:t>
      </w:r>
      <w:r w:rsidR="00882CD4">
        <w:rPr>
          <w:rFonts w:ascii="Times New Roman" w:eastAsia="Times New Roman" w:hAnsi="Times New Roman" w:cs="Times New Roman"/>
          <w:sz w:val="24"/>
          <w:szCs w:val="24"/>
          <w:lang w:eastAsia="ru-RU"/>
        </w:rPr>
        <w:t>3634280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счет средств республиканского бюджета Республики Мордовия – </w:t>
      </w:r>
      <w:r w:rsidR="00882CD4">
        <w:rPr>
          <w:rFonts w:ascii="Times New Roman" w:eastAsia="Times New Roman" w:hAnsi="Times New Roman" w:cs="Times New Roman"/>
          <w:sz w:val="24"/>
          <w:szCs w:val="24"/>
          <w:lang w:eastAsia="ru-RU"/>
        </w:rPr>
        <w:t>2543700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рублей;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счет средств местных бюджетов –</w:t>
      </w:r>
      <w:r w:rsidR="00882CD4">
        <w:rPr>
          <w:rFonts w:ascii="Times New Roman" w:eastAsia="Times New Roman" w:hAnsi="Times New Roman" w:cs="Times New Roman"/>
          <w:sz w:val="24"/>
          <w:szCs w:val="24"/>
          <w:lang w:eastAsia="ru-RU"/>
        </w:rPr>
        <w:t>4074622,86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внебюджетные источники – </w:t>
      </w:r>
      <w:r w:rsidR="00882CD4">
        <w:rPr>
          <w:rFonts w:ascii="Times New Roman" w:eastAsia="Times New Roman" w:hAnsi="Times New Roman" w:cs="Times New Roman"/>
          <w:sz w:val="24"/>
          <w:szCs w:val="24"/>
          <w:lang w:eastAsia="ru-RU"/>
        </w:rPr>
        <w:t>685997,14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рублей.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Ресурсное обеспечение Муниципальной программы, осуществляемое за счет средств республиканского бюджета Республики Мордовия и местных бюджетов,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Предполагается, что при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мероприятий Муниципальной  программы за счет внебюджетных источников будут использоваться, в том числе, различные инструменты государственно-частного партнерства.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Ресурсное обеспечение реализации Муниципальной программы приведены в </w:t>
      </w:r>
      <w:hyperlink r:id="rId9" w:anchor="/document/44933910/entry/1900" w:history="1">
        <w:r w:rsidRPr="008E08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приложении</w:t>
        </w:r>
        <w:r w:rsidRPr="008E08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7. Риск  реализации </w:t>
      </w: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</w:t>
      </w: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программы 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 развития муниципального района отмечает устойчивое снижение численности населения сельских территорий,  а также определяет следующие основные проблемы развития сельских территорий: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внутрирегиональные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 по уровню социально-экономического развития, в том числе отставание уровня жизни значительной части населения сельских территорий от уровня жизни жителей города;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предпринимательской активности  на сельских территориях.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основных проблем, социальных и финансово-экономических рисков развития сельских территорий можно выделить следующие суверенные риски и внутренние.</w:t>
      </w:r>
    </w:p>
    <w:p w:rsidR="008E08BD" w:rsidRPr="008E08BD" w:rsidRDefault="008E08BD" w:rsidP="008E08BD">
      <w:pPr>
        <w:spacing w:after="16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E08BD">
        <w:rPr>
          <w:rFonts w:ascii="Times New Roman" w:eastAsia="Times New Roman" w:hAnsi="Times New Roman" w:cs="Times New Roman"/>
          <w:sz w:val="24"/>
          <w:szCs w:val="24"/>
        </w:rPr>
        <w:t>Суверенные риски Муниципальной программы:</w:t>
      </w:r>
    </w:p>
    <w:p w:rsidR="008E08BD" w:rsidRPr="008E08BD" w:rsidRDefault="008E08BD" w:rsidP="008E08BD">
      <w:pPr>
        <w:spacing w:after="16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08BD">
        <w:rPr>
          <w:rFonts w:ascii="Times New Roman" w:eastAsia="Times New Roman" w:hAnsi="Times New Roman" w:cs="Times New Roman"/>
          <w:sz w:val="24"/>
          <w:szCs w:val="24"/>
        </w:rPr>
        <w:t xml:space="preserve">- снижение уровня жизни всего населения страны в силу политических или макроэкономических причин; </w:t>
      </w:r>
    </w:p>
    <w:p w:rsidR="008E08BD" w:rsidRPr="008E08BD" w:rsidRDefault="008E08BD" w:rsidP="008E08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08BD">
        <w:rPr>
          <w:rFonts w:ascii="Times New Roman" w:eastAsia="Times New Roman" w:hAnsi="Times New Roman" w:cs="Times New Roman"/>
          <w:sz w:val="24"/>
          <w:szCs w:val="24"/>
        </w:rPr>
        <w:t xml:space="preserve">- бюджетный дефицит и сокращение финансирования Муниципальной  программы.                                                                                         </w:t>
      </w:r>
    </w:p>
    <w:p w:rsidR="008E08BD" w:rsidRPr="008E08BD" w:rsidRDefault="008E08BD" w:rsidP="008E08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08BD">
        <w:rPr>
          <w:rFonts w:ascii="Times New Roman" w:eastAsia="Times New Roman" w:hAnsi="Times New Roman" w:cs="Times New Roman"/>
          <w:sz w:val="24"/>
          <w:szCs w:val="24"/>
        </w:rPr>
        <w:t xml:space="preserve">Внутренние  риски Муниципальной  программы:                                                                    </w:t>
      </w:r>
    </w:p>
    <w:p w:rsidR="008E08BD" w:rsidRPr="008E08BD" w:rsidRDefault="008E08BD" w:rsidP="008E0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BD">
        <w:rPr>
          <w:rFonts w:ascii="Times New Roman" w:eastAsia="Times New Roman" w:hAnsi="Times New Roman" w:cs="Times New Roman"/>
          <w:sz w:val="24"/>
          <w:szCs w:val="24"/>
        </w:rPr>
        <w:t>- низкий уровень активности потенциальных участников Муниципальной  программы  в предложении инициативных проектов;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значительная стоимость проектных работ на подготовку инициативных проектов, в том числе на подготовку проектной документации. 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активности потенциальных участников Муниципальной  программы в предложении инициативных проектов планируется преодолеть за счёт мероприятий обеспечения эффективного доступа сельского населения к государственным услугам, создания базы данных по результатам реализованных проектов по развитию сельских территорий и их распространению, и пропаганде. 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риска увеличения стоимости проектных работ планируется обеспечить путем использования типовых проектов для повторного применения. 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  Механизм реализации Муниципальной программы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заказчиком и разработчиком Муниципальной программы является Администрация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Мордовия. 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Мордовия: 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Муниципальной программы;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Муниципальной программы;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Муниципальной программы;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по уточнению затрат по мероприятиям Муниципальной программы  на очередной финансовый год;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заключает соглашения с уполномоченным органом исполнительной власти субъекта Российской Федерации о предоставлении субсидий на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Муниципальной программы;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ведение ежеквартальной отчетности о реализации мероприятий  Муниципальной программы;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информации о ходе реализации мероприятий Муниципальной программы;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Муниципальной программы.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4" w:name="sub_30000"/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«Комплексное развитие сельских территорий»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Подпрограммы «Создание и развитие инфраструктуры на сельских территориях»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6"/>
        <w:gridCol w:w="284"/>
        <w:gridCol w:w="49"/>
        <w:gridCol w:w="5387"/>
        <w:gridCol w:w="49"/>
      </w:tblGrid>
      <w:tr w:rsidR="008E08BD" w:rsidRPr="008E08BD" w:rsidTr="008E08BD">
        <w:trPr>
          <w:gridAfter w:val="1"/>
          <w:wAfter w:w="49" w:type="dxa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rPr>
          <w:gridAfter w:val="1"/>
          <w:wAfter w:w="49" w:type="dxa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Наименование подпрограммы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развитие инфраструктуры на сельских территориях (далее – подпрограмма) 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8E08BD" w:rsidRPr="008E08BD" w:rsidTr="008E08BD">
        <w:trPr>
          <w:gridAfter w:val="1"/>
          <w:wAfter w:w="49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Мордовия, ИП КФХ «Кабаев В.Ю.»(по согласованию)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rPr>
          <w:gridAfter w:val="1"/>
          <w:wAfter w:w="49" w:type="dxa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создания комфортных условий жизнедеятельности в сельской местности;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участия граждан, индивидуальных предпринимателей и организаций, некоммерческих и общественных организаций, муниципальных образований в реализации инициативных проектов комплексного развития сельских территорий 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rPr>
          <w:gridAfter w:val="1"/>
          <w:wAfter w:w="49" w:type="dxa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создания комфортных условий жизнедеятельности в сельской местности за счет: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развития социальной инфраструктуры на сельских территориях;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 сельских территорий.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rPr>
          <w:gridAfter w:val="1"/>
          <w:wAfter w:w="49" w:type="dxa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1 общественно-значимого проекта по благоустройству территорий (обустройство детской спортивно-игровой площадки в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Мордовия);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2 инициативных проекта комплексного развития сельских территорий: 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зоны отдыха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Мордовия;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территории памятника участникам Великой Отечественной 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E0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1945 </w:t>
              </w:r>
              <w:proofErr w:type="spellStart"/>
              <w:r w:rsidRPr="008E0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Мордовия.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rPr>
          <w:gridAfter w:val="1"/>
          <w:wAfter w:w="49" w:type="dxa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2020 – 31 декабря 202</w:t>
            </w:r>
            <w:r w:rsidR="00D0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годы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rPr>
          <w:gridAfter w:val="1"/>
          <w:wAfter w:w="49" w:type="dxa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5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составит: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всех источников финансирования –</w:t>
            </w:r>
            <w:r w:rsidR="00D0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  <w:r w:rsidR="0086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рублей, в том числе: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–2364640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 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–1269680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  тыс.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республиканского бюджета Республики Мордовия – </w:t>
            </w:r>
            <w:r w:rsidR="0086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2543700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 рублей, в том числе: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1655000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–88877</w:t>
            </w:r>
            <w:r w:rsidR="0086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 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 тыс.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местных бюджетов –        </w:t>
            </w:r>
            <w:r w:rsidR="0086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404622,86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рублей, в том числе: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23642,86  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</w:t>
            </w:r>
            <w:r w:rsidR="0086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380980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  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  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– </w:t>
            </w:r>
            <w:r w:rsidR="0086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685997,14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рублей, в том числе: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685997,14  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–0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86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 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86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 тыс. рублей,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подпрограммы подлежит ежегодному уточнению, исходя из реальных возможностей бюджетов всех уровней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rPr>
          <w:gridAfter w:val="1"/>
          <w:wAfter w:w="49" w:type="dxa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образований в реализации: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- 1 общественно-значимый проект по благоустройству территорий(обустройство 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детской спортивно-игровой площадки в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Мордовия);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- 2 инициативных проекта комплексного развития сельских территорий: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-обустройство зоны отдыха в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территории памятника участникам Великой Отечественной 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E0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1945 </w:t>
              </w:r>
              <w:proofErr w:type="spellStart"/>
              <w:r w:rsidRPr="008E0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Мордовия.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14"/>
    <w:p w:rsidR="008E08BD" w:rsidRPr="008E08BD" w:rsidRDefault="008E08BD" w:rsidP="008E0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1. Сфера реализации подпрограммы, основные проблемы, оценка последствий инерционного развития и прогноз развития, приоритеты государственной политики в сфере реализации подпрограммы, цели, задачи и показатели (индикаторы) реализации подпрограммы, основные ожидаемые и конечные результаты подпрограммы, сроки ее реализации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Сфера реализации подпрограммы, основные проблемы и оценка последствий инерционного развития, прогноз развития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8BD" w:rsidRPr="008E08BD" w:rsidRDefault="008E08BD" w:rsidP="008E0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Программ 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созданы правовые и организационные основы государственной политики в области строительства инженерной и социальной инфраструктуры, благоустройства в сельской местности, определены ее приоритетные направления и отработаны механизмы их реализации, сформирована необходимая нормативно-правовая база.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Новые правовые условия создают основу для дальнейшей реализации поставленных целей, требуют широкомасштабных скоординированных действий на всех уровнях государственной власти и местного самоуправления, а также осуществления мер нормативно-правового, административно-организационного и бюджетно-финансового характера.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подпрограммы обусловлена необходимостью: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обеспечения создания комфортных условий жизнедеятельности в сельской местности;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активизации участия граждан, индивидуальных предпринимателей и организаций, некоммерческих и общественных организаций в реализации инициативных проектов комплексного развития сельских территорий.</w:t>
      </w:r>
    </w:p>
    <w:p w:rsidR="008E08BD" w:rsidRPr="008E08BD" w:rsidRDefault="008E08BD" w:rsidP="008E0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сельских территорий является одним из наиболее приоритетных направлений социально-экономической политики Правительства Республики Мордовия в рассматриваемой перспективе.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Динамика комплексного развития сельских территорий на период до 2025 года будет формироваться под воздействием принятых в последние годы мер. В то же время сохраняется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сельских территорий.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прогнозном периоде наметятся следующие значимые тенденции: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бюджетных инвестиций в объекты муниципальной собственности;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 механизмов государственно-частного партнерства и привлечение дополнительных средств внебюджетных источников для 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финансирования мероприятий подпрограммы, включая средства населения и организаций.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объектами социальной и инженерной инфраструктуры.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демографической ситуации способствуют увеличению продолжительности жизни и рождаемости в сельской местности.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 реализации подпрограммы основывается на достижении уровней ее основных показателей (индикаторов):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1 общественно-значимого проекта по благоустройству территорий(обустройство детской спортивно-игровой площадки в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армазейка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) 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2 инициативных проекта комплексного развития сельских территорий: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-обустройство зоны отдыха в с.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Вармазейка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обустройство территории памятника участникам 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Pr="008E08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1945 </w:t>
        </w:r>
        <w:proofErr w:type="spellStart"/>
        <w:r w:rsidRPr="008E08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Вармазейка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Мордовия.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Приоритеты государственной политики в сфере реализации подпрограммы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Несмотря на положительный эффект от реализации Программ,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Без дальнейшего использования программно-целевого метода сложившаяся на сельских территориях проблемная ситуация усугубится, что ставит по угрозу выполнение стратегических задач социально-экономического развития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Целесообразность использования программно-целевого метода для решения задачи по комплексному развитию сельских территорий подкреплена: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взаимосвязью целевых установок комплексного развития сельских территорий с приоритетами социально-экономического развития Республики Мордовия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долгосрочным характером социальных проблем сельских территорий, требующим системного подхода к их решению;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высоким уровнем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затратности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накопившихся проблем села, требующим привлечения средств государственной поддержки.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связи с этим комплексное развитие сельских территорий отнесено к числу приоритетных направлений, инструментом реализации которых является настоящая подпрограмма.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3. Цели, задачи и показатели (индикаторы) реализации подпрограммы, основные ожидаемые и конечные результаты </w:t>
      </w:r>
      <w:proofErr w:type="gramStart"/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подпрограммы</w:t>
      </w:r>
      <w:proofErr w:type="gramEnd"/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сроки ее реализации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подпрограммы является: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 обеспечение создания комфортных условий жизнедеятельности в сельской местности;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 активизация участия граждан, индивидуальных предпринимателей и организаций, некоммерческих и общественных организаций, муниципальных образований в реализации инициативных проектов комплексного развития сельских территорий.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задачами подпрограммы являются: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создания комфортных условий жизнедеятельности в сельской местности за счет: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 развития социальной инфраструктуры на сельских территориях;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 благоустройство сельских территорий.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Показатели (индикаторы) реализации подпрограммы оцениваются в целом для подпрограммы.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Эти показатели (индикаторы) предназначены для оценки наиболее существенных результатов реализации подпрограммы.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части основных показателей подпрограммы прогнозируются: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реализовать 1 общественно-значимый проект по благоустройству территорий(обустройство детской спортивно-игровой площадки в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армазейка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);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реализовать 1 инициативный проект комплексного развития сельских территорий: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-обустройство зоны отдыха в с.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Вармазейка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обустройство территории памятника участникам 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Pr="008E08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1945 </w:t>
        </w:r>
        <w:proofErr w:type="spellStart"/>
        <w:r w:rsidRPr="008E08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Вармазейка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Мордовия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Характеристика основных мероприятий подпрограммы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состав подпрограммы включены следующие основные мероприятия: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 благоустройство сельских территорий;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 современный облик сельских территорий.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8BD" w:rsidRPr="008E08BD" w:rsidRDefault="008E08BD" w:rsidP="008E0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Мероприятие «Благоустройство сельских территорий»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по созданию условий для устойчивого развития сельских территорий предполагает активизацию человеческого потенциала, проживающего на этих территориях, формирование установки на социальную активность и мобильность сельского населения.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целями реализации мероприятия по благоустройству сельских территорий являются: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участия сельского населения в решении вопросов местного значения;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сообщества, муниципальных образований на цели местного развития;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в сельской местности институтов гражданского общества, способствующих созданию условий для устойчивого развития сельских территорий.</w:t>
      </w:r>
    </w:p>
    <w:p w:rsidR="008E08BD" w:rsidRPr="008E08BD" w:rsidRDefault="008E08BD" w:rsidP="008E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мероприятий по благоустройству сельских территорий предусматривается осуществлять в порядке и на условиях, которые установлены Правилами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территориях, являющимся </w:t>
      </w:r>
      <w:hyperlink r:id="rId10" w:anchor="/document/70210644/entry/13000" w:history="1">
        <w:r w:rsidRPr="008E08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приложением № </w:t>
        </w:r>
      </w:hyperlink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 Государственной программе Российской Федерации «Комплексное развитие сельских территорий», утвержденной </w:t>
      </w:r>
      <w:hyperlink r:id="rId11" w:anchor="/document/70210644/entry/0" w:history="1">
        <w:r w:rsidRPr="008E08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 31 мая </w:t>
      </w:r>
      <w:smartTag w:uri="urn:schemas-microsoft-com:office:smarttags" w:element="metricconverter">
        <w:smartTagPr>
          <w:attr w:name="ProductID" w:val="2019 г"/>
        </w:smartTagPr>
        <w:r w:rsidRPr="008E08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2019 г</w:t>
        </w:r>
      </w:smartTag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696.</w:t>
      </w:r>
      <w:proofErr w:type="gramEnd"/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на реализацию общественно-значимого проекта по благоустройству сельских территорий предоставляются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обустройство зон отдыха, спортивных и детских игровых площадок;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освещения территории, включая архитектурную подсветку зданий, строений,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 использованием энергосберегающих технологий;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пешеходных коммуникаций, в том числе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трутуаров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аллей, дорожек, тропинок; 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ливневых стоков;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обустройство общественных колодцев и водоразборных колонок;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площадок накопления твёрдых коммунальных отходов;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восстановление природных ландшафтов и историко-культурных памятников.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бюджетных ассигнований на реализацию мероприятий осуществляется в порядке и на условиях определяемых Правительством Республики Мордовия.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 Мероприятие «Современный облик сельских территорий»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«Современный облик сельских территорий» будет способствовать созданию условий для комплексного развития сельских территорий и обеспечит достижение положительных результатов, определяющих ее социально-экономическую эффективность.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использование комплексного подхода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приведёт к повышению уровня комфортности проживания на сельских территориях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бюджетов муниципальных образований и обеспечению роста сельской экономики в целом.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мероприятия «Современный облик сельских территорий» планируется реализация инициативного проекта комплексного развития сельских территорий, включающий мероприятие, реализуемое на сельских территориях, предусматривающий: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реконструкция (модернизация) и капитальный ремонт объектов социальной и культурной сферы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дошкольных образований, общеобразовательных организаций, объектов в сфере культуры, спортивных сооружений),объектов социального назначения, центров культурного развития и развития традиционных промыслов и ремесел(строительство центров народно-художественных промыслов, ремесленной деятельности, сельского туризма, организация художественных промыслов, входящих в перечень организаций народных художественных промыслов, поддержка которых осуществляется за счёт средств федерального бюджета, утверждённый в соответствии со ст.4 федерального Закона от 06.01.1996 г.№7-ФЗ «О народных художественных промыслах»;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BD">
        <w:rPr>
          <w:rFonts w:ascii="Times New Roman" w:eastAsia="Times New Roman" w:hAnsi="Times New Roman" w:cs="Times New Roman"/>
          <w:sz w:val="24"/>
          <w:szCs w:val="24"/>
        </w:rPr>
        <w:t>приобретение транспортных средств и оборудования (не бывшего в употреблении или эксплуатации) для обеспечения функционирования существующих или эксплуатации объектов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</w:rPr>
        <w:t>создаваемых в рамках проектов (автобусов, оборудования(компьютерная и периферийная техника)для предоставления дистанционных услуг(включая расширения государственных, образовательных, коммерческих услуг));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BD">
        <w:rPr>
          <w:rFonts w:ascii="Times New Roman" w:eastAsia="Times New Roman" w:hAnsi="Times New Roman" w:cs="Times New Roman"/>
          <w:sz w:val="24"/>
          <w:szCs w:val="24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BD">
        <w:rPr>
          <w:rFonts w:ascii="Times New Roman" w:eastAsia="Times New Roman" w:hAnsi="Times New Roman" w:cs="Times New Roman"/>
          <w:sz w:val="24"/>
          <w:szCs w:val="24"/>
        </w:rPr>
        <w:t xml:space="preserve">развитие жилищно-коммунальных объектов (строительство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</w:rPr>
        <w:t>блочно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</w:rPr>
        <w:t>-модульных котельных и перевод многоквартирных жилых домов на индивидуальное отопление);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BD">
        <w:rPr>
          <w:rFonts w:ascii="Times New Roman" w:eastAsia="Times New Roman" w:hAnsi="Times New Roman" w:cs="Times New Roman"/>
          <w:sz w:val="24"/>
          <w:szCs w:val="24"/>
        </w:rPr>
        <w:t>развитие энергообеспечения, строительство и оборудование автономных и возобновляемых источников энергии с применением технологий энергосбережения;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</w:rPr>
        <w:t>развитие телекоммуникаций (приобретение и монтаж оборудования, строительство линий передачи данных, обеспечивающих возможность подключения к сети «Интернет»)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Республики Мордовия все населенные пункты относятся к сельским территориям.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субсидии предполагается предоставлять на условиях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за счет средств федерального бюджета.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бюджетных ассигнований на реализацию мероприятий осуществляется в порядке и на условиях определяемых Правительством Республики Мордовия.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Характеристика мер государственного регулирования, прогноз сводных показателей государственных заданий по реализации подпрограммы, участие государственных корпораций, акционерных обществ с государственным участием, обоснование объема финансовых ресурсов, необходимых для реализации подпрограммы, анализ рисков реализации подпрограммы и описание мер управления рисками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Глава 6. </w:t>
      </w:r>
      <w:r w:rsidRPr="008E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мер муниципального регулирования, прогноз сводных показателей муниципальных  заданий по реализации подпрограммы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Меры муниципального регулирования подпрограммой не предусмотрены.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Оказание муниципальных  услуг (выполнение работ) подпрограммой не предусмотрено.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08BD" w:rsidRPr="008E08BD" w:rsidRDefault="008E08BD" w:rsidP="008E0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7. Участие муниципальных организаций, акционерных обществ с муниципальным участием 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Участие муниципальных организаций, акционерных обществ  с муниципальным участием  подпрограммой не предусмотрено.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8. Обоснование объема финансовых ресурсов, необходимых для реализации подпрограммы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Подпрограмма реализуется за счет средств  республиканского, местного бюджетов и внебюджетных источников.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Прогнозный объем финансирования подпрограммы в 2020 – 202</w:t>
      </w:r>
      <w:r w:rsidR="0086082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годах составит </w:t>
      </w:r>
      <w:r w:rsidR="0086082D">
        <w:rPr>
          <w:rFonts w:ascii="Times New Roman" w:eastAsia="Times New Roman" w:hAnsi="Times New Roman" w:cs="Times New Roman"/>
          <w:sz w:val="24"/>
          <w:szCs w:val="24"/>
          <w:lang w:eastAsia="ru-RU"/>
        </w:rPr>
        <w:t>3634280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из которых средства  республиканского бюджета – </w:t>
      </w:r>
      <w:r w:rsidR="0086082D">
        <w:rPr>
          <w:rFonts w:ascii="Times New Roman" w:eastAsia="Times New Roman" w:hAnsi="Times New Roman" w:cs="Times New Roman"/>
          <w:sz w:val="24"/>
          <w:szCs w:val="24"/>
          <w:lang w:eastAsia="ru-RU"/>
        </w:rPr>
        <w:t>2543700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местных бюджетов – </w:t>
      </w:r>
      <w:r w:rsidR="0086082D">
        <w:rPr>
          <w:rFonts w:ascii="Times New Roman" w:eastAsia="Times New Roman" w:hAnsi="Times New Roman" w:cs="Times New Roman"/>
          <w:sz w:val="24"/>
          <w:szCs w:val="24"/>
          <w:lang w:eastAsia="ru-RU"/>
        </w:rPr>
        <w:t>404622,86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рублей и внебюджетных источников – </w:t>
      </w:r>
      <w:r w:rsidR="0086082D">
        <w:rPr>
          <w:rFonts w:ascii="Times New Roman" w:eastAsia="Times New Roman" w:hAnsi="Times New Roman" w:cs="Times New Roman"/>
          <w:sz w:val="24"/>
          <w:szCs w:val="24"/>
          <w:lang w:eastAsia="ru-RU"/>
        </w:rPr>
        <w:t>685997,14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  рублей.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Объем финансовых ресурсов, необходимых для реализации подпрограммы, приведен в разрезе мероприятий в </w:t>
      </w:r>
      <w:hyperlink r:id="rId12" w:anchor="/document/9081125/entry/10005" w:history="1">
        <w:r w:rsidRPr="008E08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приложении</w:t>
        </w:r>
      </w:hyperlink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 Муниципальной программе.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9. Анализ рисков реализации подпрограммы и описание мер управления рисками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рискам, которые могут оказать влияние на достижение запланированных целей, относятся: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подпрограммой;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 операционные риски, связанные с ошибками управления реализацией подпрограммы;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риск финансового обеспечения, который связан с финансированием подпрограммы в неполном объеме.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Реализации подпрограммы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</w:t>
      </w:r>
      <w:proofErr w:type="gram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подпрограммы: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 риск возникновения обстоятельств непреодолимой силы, в том числе природных и техногенных катастроф и катаклизмов.</w:t>
      </w:r>
    </w:p>
    <w:p w:rsidR="008E08BD" w:rsidRPr="008E08BD" w:rsidRDefault="008E08BD" w:rsidP="008E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Управление рисками реализации подпрограммы будет осуществляться путем координации деятельности всех исполнителей, участвующих в реализации подпрограммы.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sectPr w:rsidR="008E08BD" w:rsidRPr="008E08BD">
          <w:pgSz w:w="11905" w:h="16837"/>
          <w:pgMar w:top="899" w:right="848" w:bottom="1276" w:left="900" w:header="720" w:footer="720" w:gutter="0"/>
          <w:cols w:space="720"/>
        </w:sect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lastRenderedPageBreak/>
        <w:t>Приложение 3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к 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                                                                                                Республики Мордовия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«Комплексное развитие сельских территорий»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показателях (индикаторах) реализации муниципальной программы </w:t>
      </w:r>
      <w:proofErr w:type="spellStart"/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сельского поселения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сельских территорий»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839"/>
        <w:gridCol w:w="1559"/>
        <w:gridCol w:w="1276"/>
        <w:gridCol w:w="1277"/>
        <w:gridCol w:w="1135"/>
        <w:gridCol w:w="1135"/>
        <w:gridCol w:w="1135"/>
        <w:gridCol w:w="1135"/>
        <w:gridCol w:w="1135"/>
        <w:gridCol w:w="1135"/>
      </w:tblGrid>
      <w:tr w:rsidR="008E08BD" w:rsidRPr="008E08BD" w:rsidTr="008E08BD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Государственной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8E08BD" w:rsidRPr="008E08BD" w:rsidTr="008E08BD">
        <w:trPr>
          <w:tblHeader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8E08BD" w:rsidRPr="008E08BD" w:rsidTr="008E08BD">
        <w:trPr>
          <w:tblHeader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E08BD" w:rsidRPr="008E08BD" w:rsidTr="008E08BD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«Создание и развитие инфраструктуры на сельских территориях»</w:t>
            </w:r>
          </w:p>
        </w:tc>
      </w:tr>
      <w:tr w:rsidR="008E08BD" w:rsidRPr="008E08BD" w:rsidTr="008E08B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общественно-значимых проектов по благоустройству территорий 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(обустройство детской  спортивн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площадки в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8BD" w:rsidRPr="008E08BD" w:rsidTr="008E08B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инициативных проектов комплексного развития сельских территорий 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(обустройство зоны отдыха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Мордовия)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6082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08BD" w:rsidRPr="008E08BD" w:rsidTr="008E08B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инициативных проектов комплексного развития сельских территорий 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(обустройство территории памятника участникам Великой Отечественной 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E0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1945 </w:t>
              </w:r>
              <w:proofErr w:type="spellStart"/>
              <w:r w:rsidRPr="008E0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Мордовия.</w:t>
            </w:r>
            <w:proofErr w:type="gramEnd"/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Приложение  4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к 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                                                                                                Республики Мордовия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«Комплексное развитие сельских территорий»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1"/>
        <w:gridCol w:w="3248"/>
        <w:gridCol w:w="2211"/>
        <w:gridCol w:w="1489"/>
        <w:gridCol w:w="1275"/>
        <w:gridCol w:w="1276"/>
        <w:gridCol w:w="992"/>
        <w:gridCol w:w="1276"/>
        <w:gridCol w:w="992"/>
      </w:tblGrid>
      <w:tr w:rsidR="008E08BD" w:rsidRPr="008E08BD" w:rsidTr="008E08BD">
        <w:trPr>
          <w:trHeight w:val="37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Мордовия, подпрограммы муниципальной программы (в том числе  основного мероприятия)</w:t>
            </w:r>
          </w:p>
        </w:tc>
        <w:tc>
          <w:tcPr>
            <w:tcW w:w="2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по годам,  рублей</w:t>
            </w:r>
          </w:p>
        </w:tc>
      </w:tr>
      <w:tr w:rsidR="008E08BD" w:rsidRPr="008E08BD" w:rsidTr="008E08BD">
        <w:trPr>
          <w:trHeight w:val="2786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86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/2025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6082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6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6/ </w:t>
            </w:r>
            <w:bookmarkStart w:id="15" w:name="_GoBack"/>
            <w:bookmarkEnd w:id="15"/>
            <w:r w:rsidR="0086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08BD" w:rsidRPr="008E08BD" w:rsidTr="008E08BD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08BD" w:rsidRPr="008E08BD" w:rsidTr="0086082D">
        <w:trPr>
          <w:trHeight w:val="37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</w:t>
            </w: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 района Республики Мордовия</w:t>
            </w:r>
          </w:p>
        </w:tc>
        <w:tc>
          <w:tcPr>
            <w:tcW w:w="32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Комплексное развитие сельских территорий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2364640,0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1269680,0 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37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08BD" w:rsidRPr="008E08BD" w:rsidTr="0086082D">
        <w:trPr>
          <w:trHeight w:val="3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6082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88877</w:t>
            </w:r>
            <w:r w:rsidR="00860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3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6082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380980</w:t>
            </w:r>
            <w:r w:rsidR="008E08BD"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8E08BD"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33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685997,14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2364640,0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1269680,0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888776,0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6082D" w:rsidP="0086082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380980,0</w:t>
            </w:r>
            <w:r w:rsidR="008E08BD"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685997,14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6082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8BD" w:rsidRPr="008E08BD" w:rsidTr="0086082D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сельских территорий (обустройство детской  спортивн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площадки в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Мордовия);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2364640,0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8BD" w:rsidRPr="008E08BD" w:rsidTr="0086082D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711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685997,14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82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сельских территорий  (обустройство зоны отдыха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Мордовия)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8BD" w:rsidRPr="008E08BD" w:rsidTr="0086082D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614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2.4.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сельских 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 (обустройство территории памятника участникам Великой Отечественной 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E0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1945 </w:t>
              </w:r>
              <w:proofErr w:type="spellStart"/>
              <w:r w:rsidRPr="008E0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Мордовия)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1269680,0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8BD" w:rsidRPr="008E08BD" w:rsidTr="0086082D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6082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88877</w:t>
            </w:r>
            <w:r w:rsidR="0086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8E0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6082D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6082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380980,</w:t>
            </w:r>
            <w:r w:rsidR="008E08BD" w:rsidRPr="008E0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8BD" w:rsidRPr="008E08BD" w:rsidTr="008E08BD">
        <w:trPr>
          <w:trHeight w:val="807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6082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8E08BD" w:rsidRPr="008E0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08BD" w:rsidRPr="008E08BD" w:rsidRDefault="008E08BD" w:rsidP="008E08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              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right="1102" w:firstLine="720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 Приложение 5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сельского поселения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«Комплексное развитие сельских территорий»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8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мероприятий Муниципальной программы </w:t>
      </w:r>
      <w:proofErr w:type="spellStart"/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Вармазейского</w:t>
      </w:r>
      <w:proofErr w:type="spellEnd"/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сельского поселения 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Большеигнатовского</w:t>
      </w:r>
      <w:proofErr w:type="spellEnd"/>
      <w:r w:rsidRPr="008E08B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муниципального района</w:t>
      </w:r>
      <w:r w:rsidRPr="008E08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Мордовия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сельских территорий»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19"/>
        <w:gridCol w:w="2461"/>
        <w:gridCol w:w="1418"/>
        <w:gridCol w:w="1387"/>
        <w:gridCol w:w="2584"/>
        <w:gridCol w:w="2219"/>
        <w:gridCol w:w="2634"/>
      </w:tblGrid>
      <w:tr w:rsidR="008E08BD" w:rsidRPr="008E08BD" w:rsidTr="008E08BD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 реализации мероприятия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Государственной программы</w:t>
            </w:r>
          </w:p>
        </w:tc>
      </w:tr>
      <w:tr w:rsidR="008E08BD" w:rsidRPr="008E08BD" w:rsidTr="008E08BD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BD" w:rsidRPr="008E08BD" w:rsidRDefault="008E08BD" w:rsidP="008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BD" w:rsidRPr="008E08BD" w:rsidTr="008E08B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E08BD" w:rsidRPr="008E08BD" w:rsidTr="008E08BD">
        <w:tc>
          <w:tcPr>
            <w:tcW w:w="15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Подпрограмма «Создание и развитие инфраструктуры на сельских территориях»</w:t>
            </w:r>
          </w:p>
        </w:tc>
      </w:tr>
      <w:tr w:rsidR="008E08BD" w:rsidRPr="008E08BD" w:rsidTr="008E0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сельских территорий 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(обустройство детской  спортивн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площадки в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Мордовия);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Вармазейского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1 </w:t>
            </w: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общественно-значимого проекта по благоустройству территорий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снижение </w:t>
            </w: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привлекательности проживания на сельских территориях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значимых проектов по благоустройству территорий 1 единица</w:t>
            </w:r>
          </w:p>
        </w:tc>
      </w:tr>
      <w:tr w:rsidR="008E08BD" w:rsidRPr="008E08BD" w:rsidTr="008E0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сельских территорий 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(обустройство зоны отдыха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Мордовия);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1 инициативного проекта комплексного развития сельских территорий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привлекательности проживания на сельских территориях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инициативных проектов комплексного развития сельских территорий 1 единица</w:t>
            </w:r>
          </w:p>
        </w:tc>
      </w:tr>
      <w:tr w:rsidR="008E08BD" w:rsidRPr="008E08BD" w:rsidTr="008E0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(обустройство территории памятника участникам Великой </w:t>
            </w: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E0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1945 </w:t>
              </w:r>
              <w:proofErr w:type="spellStart"/>
              <w:r w:rsidRPr="008E0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Мордовия)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1 инициативного проекта комплексного развития сельских территорий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привлекательности проживания на сельских территориях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D" w:rsidRPr="008E08BD" w:rsidRDefault="008E08BD" w:rsidP="008E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инициативных проектов комплексного развития сельских территорий 1 единица</w:t>
            </w:r>
          </w:p>
        </w:tc>
      </w:tr>
    </w:tbl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BD" w:rsidRPr="008E08BD" w:rsidRDefault="008E08BD" w:rsidP="008E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8D" w:rsidRDefault="0097018D"/>
    <w:sectPr w:rsidR="0097018D" w:rsidSect="008E08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0AAC"/>
    <w:multiLevelType w:val="hybridMultilevel"/>
    <w:tmpl w:val="C7AEF49E"/>
    <w:lvl w:ilvl="0" w:tplc="2DC0ADE6">
      <w:start w:val="1"/>
      <w:numFmt w:val="decimal"/>
      <w:lvlText w:val="%1."/>
      <w:lvlJc w:val="left"/>
      <w:pPr>
        <w:ind w:left="630" w:hanging="48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4B"/>
    <w:rsid w:val="00205C4B"/>
    <w:rsid w:val="004E23C2"/>
    <w:rsid w:val="0086082D"/>
    <w:rsid w:val="00865A93"/>
    <w:rsid w:val="00882CD4"/>
    <w:rsid w:val="008E08BD"/>
    <w:rsid w:val="0097018D"/>
    <w:rsid w:val="00991A10"/>
    <w:rsid w:val="00D0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08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8B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08BD"/>
  </w:style>
  <w:style w:type="character" w:styleId="a3">
    <w:name w:val="Hyperlink"/>
    <w:basedOn w:val="a0"/>
    <w:semiHidden/>
    <w:unhideWhenUsed/>
    <w:rsid w:val="008E08B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08BD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8E08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8E08B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8E08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8E08B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8E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8E08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8E08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8E0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8E08B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8E0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empty">
    <w:name w:val="empty"/>
    <w:basedOn w:val="a"/>
    <w:rsid w:val="008E08B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8E08B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Абзац списка1"/>
    <w:basedOn w:val="a"/>
    <w:rsid w:val="008E08BD"/>
    <w:pPr>
      <w:spacing w:after="160" w:line="256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8E08BD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character" w:customStyle="1" w:styleId="ad">
    <w:name w:val="Цветовое выделение"/>
    <w:rsid w:val="008E08BD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08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8B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08BD"/>
  </w:style>
  <w:style w:type="character" w:styleId="a3">
    <w:name w:val="Hyperlink"/>
    <w:basedOn w:val="a0"/>
    <w:semiHidden/>
    <w:unhideWhenUsed/>
    <w:rsid w:val="008E08B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08BD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8E08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8E08B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8E08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8E08B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8E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8E08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8E08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8E0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8E08B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8E0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empty">
    <w:name w:val="empty"/>
    <w:basedOn w:val="a"/>
    <w:rsid w:val="008E08B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8E08B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Абзац списка1"/>
    <w:basedOn w:val="a"/>
    <w:rsid w:val="008E08BD"/>
    <w:pPr>
      <w:spacing w:after="160" w:line="256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8E08BD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character" w:customStyle="1" w:styleId="ad">
    <w:name w:val="Цветовое выделение"/>
    <w:rsid w:val="008E08BD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66C5-69B3-4B96-9114-45A632D7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8630</Words>
  <Characters>49197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2025-01-15T13:16:00Z</cp:lastPrinted>
  <dcterms:created xsi:type="dcterms:W3CDTF">2025-01-13T12:02:00Z</dcterms:created>
  <dcterms:modified xsi:type="dcterms:W3CDTF">2025-01-15T13:19:00Z</dcterms:modified>
</cp:coreProperties>
</file>