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color w:val="960606"/>
          <w:sz w:val="24"/>
          <w:lang w:val="ru-RU"/>
        </w:rPr>
        <w:t>Документ подписан электронной подписью: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color w:val="960606"/>
          <w:sz w:val="24"/>
          <w:lang w:val="ru-RU"/>
        </w:rPr>
        <w:t>Владелец: Рабина Антонина Риммовна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color w:val="960606"/>
          <w:sz w:val="24"/>
          <w:lang w:val="ru-RU"/>
        </w:rPr>
        <w:t>Должность: Исполняющий обязанности главы сельского поселения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color w:val="960606"/>
          <w:sz w:val="24"/>
          <w:lang w:val="ru-RU"/>
        </w:rPr>
        <w:t>Дата подписи: 13.05.2016 17:34:49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1"/>
        <w:jc w:val="center"/>
      </w:pPr>
      <w:bookmarkStart w:id="0" w:name="npaviewer-1813-outerCt"/>
      <w:bookmarkStart w:id="1" w:name="bookmark3"/>
      <w:bookmarkEnd w:id="0"/>
      <w:bookmarkEnd w:id="1"/>
      <w:r>
        <w:rPr>
          <w:rStyle w:val="style18"/>
          <w:strike w:val="false"/>
          <w:dstrike w:val="false"/>
          <w:color w:val="0000FF"/>
          <w:u w:val="none"/>
          <w:effect w:val="none"/>
          <w:lang w:val="ru-RU"/>
        </w:rPr>
        <w:t>АДМИНИСТРАЦИЯ ВАРМАЗЕЙСКОГО СЕЛЬСКОГО ПОСЕЛЕНИЯ БОЛЬШЕИГНАТОВСКОГО МУНИЦИПАЛЬНОГО РАЙОНА</w:t>
      </w:r>
    </w:p>
    <w:p>
      <w:pPr>
        <w:spacing w:line="240" w:lineRule="auto"/>
        <w:pStyle w:val="style1"/>
        <w:jc w:val="center"/>
      </w:pPr>
      <w:bookmarkStart w:id="2" w:name="npaviewer-1813-outerCt1"/>
      <w:bookmarkEnd w:id="2"/>
      <w:r>
        <w:rPr>
          <w:rStyle w:val="style18"/>
          <w:lang w:val="ru-RU"/>
        </w:rPr>
        <w:t>РЕСПУБЛИКИ МОРДОВИЯ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ПОСТАНОВЛЕНИЕ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lang w:val="ru-RU"/>
        </w:rPr>
        <w:t> 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"29" ЯНВАРЯ 2016 г № 6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lang w:val="ru-RU"/>
        </w:rPr>
        <w:t> 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С. ВАРМАЗЕЙКА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right"/>
      </w:pPr>
      <w:r>
        <w:rPr>
          <w:lang w:val="ru-RU"/>
        </w:rPr>
        <w:t> 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ОБ УТВЕРЖДЕНИИ ПОЛОЖЕНИЯ О ПРОВЕДЕНИЕ АТТЕСТАЦИИ МУНИЦИПАЛЬНЫХ СЛУЖАЩИХ АДМИНИСТРАЦИИ ВАРМАЗЕЙСКОГО СЕЛЬСКОГО ПОСЕЛЕНИЯ БОЛЬШЕИГНАТОВСКОГО МУНИЦИПАЛЬНОГО РАЙОНА РМ.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В соответствии со ст. 18 Федерального Закона от 2 марта 2007 г. № 25- ФЗ "О муниципальной службе в Российской федерации", ст. 6 Закона Республики Мордовия от 8 июня 2007 г. № 48-З "О регулировании отношений в сфере муниципальной службы",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center"/>
      </w:pPr>
      <w:r>
        <w:rPr>
          <w:rFonts w:ascii="Arial" w:hAnsi="Arial"/>
          <w:sz w:val="24"/>
          <w:lang w:val="ru-RU"/>
        </w:rPr>
        <w:t>администрация Вармазейского сельского поселения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ПОСТАНОВЛЯЕТ: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Утвердить прилагаемое Положение о проведении аттестации муниципальных служащих администрации Вармазейского сельского поселения Большеигнатовского муниципального района.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Настоящее постановление вступает в силу со дня его официального опубликования.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И.О.Главы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сельского поселения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А.Р.Рабина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right"/>
      </w:pPr>
      <w:r>
        <w:rPr>
          <w:rFonts w:ascii="Arial" w:hAnsi="Arial"/>
          <w:b/>
          <w:sz w:val="32"/>
          <w:lang w:val="ru-RU"/>
        </w:rPr>
        <w:t>УТВЕРЖДЕНО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постановлением администрации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Вармазейского сельского поселения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Большеигнатовского муниципального района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от "29" января 2016 г. № 6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Глава 1. Общие положения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1. Настоящим Положением определяется порядок проведения аттестации муниципальных служащих в администрации Вармазейского сельского поселения Большеигнатовского муниципального района (далее - муниципальные служащие), замещающих должности муниципальной службы в администрации Вармазейского сельского поселения Большеигнатовского муниципального района.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Аттестация призвана способствовать формированию кадрового состава муниципальной службы в администрации Вармазейского сельского поселения Большеигнатовского муниципального района,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Вармазейского сельского поселения Большеигнатовского муниципального района, а также вопросов, связанных с изменением условий оплаты труда муниципальных служащих.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3. Аттестации не подлежат муниципальные служащие: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1) замещающие должности муниципальной службы менее одного года;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2) достигшие возраста 60 лет;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3) беременные женщины;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4) 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5) замещающие должности муниципальной службы на основании срочного трудового договора (контракта).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4. Аттестация муниципального служащего проводится один раз в три года.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5. Внеочередная аттестация может проводиться: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2) по решению представителя нанимателя после принятия в установленном порядке решения: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о сокращении должностей муниципальной службы в администрации Большеигнатовского муниципального района;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об изменении условий оплаты труда муниципальных служащих.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самоуправления, в соответствии с трудовым законодательством Российской Федерации.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Глава 2. Организация проведения аттестации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7. Для проведения аттестации муниципальных служащих представителем нанимателя издается правовой акт, содержащий положения: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1) о формировании аттестационной комиссии;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2) об утверждении графика проведения аттестации;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3) о составлении списков муниципальных служащих, подлежащих аттестации;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4) о подготовке документов, необходимых для работы аттестационной комиссии.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8. Аттестационная комиссия формируется правовым актом представителя нанимателя. Указанным актом определяются состав аттестационной комиссии, сроки и порядок ее работы.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депутаты Совета депутатов Большеигнатовского муниципального района,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 местного самоуправления и муниципальной службы.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В зависимости от специфики должностных обязанностей муниципальных служащих в администрации Вармазейского сельского поселения Большеигнатовского муниципального района может быть создано несколько аттестационных комиссий.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10.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11. В графике проведения аттестации указываются: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1) наименование органа, подразделения, в которых проводится аттестация;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2) список муниципальных служащих, подлежащих аттестации;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3) дата, время и место проведения аттестации;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аппарата избирательной комиссии муниципального образования.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12.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13. Отзыв, предусмотренный пунктом 12 настоящего Положения, должен содержать следующие сведения о муниципальном служащем: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1) фамилия, имя, отчество;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14.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15. Кадровая служба администрации Большеигнатовского муниципального района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Глава 3. Проведение аттестации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16.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17.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(администрации Большеигнатовского муниципального района) задач, сложности выполняемой им работы, ее эффективности и результативности.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ограничений,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18. Заседание аттестационной комиссии считается правомочным, если на нем присутствует не менее двух третей ее членов.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20. По результатам аттестации муниципального служащего аттестационной комиссией принимается одно из следующих решений: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1) соответствует замещаемой должности муниципальной службы;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2) не соответствует замещаемой должности муниципальной службы.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 или о направлении отдельных муниципальных служащих для получения дополнительного профессионального образования.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21. Результаты аттестации сообщаются аттестованным муниципальным служащим непосредственно после подведения итогов голосования.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Муниципальный служащий знакомится с аттестационным листом под расписку.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24.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lang w:val="ru-RU"/>
        </w:rPr>
        <w:t> 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right"/>
      </w:pPr>
      <w:r>
        <w:rPr>
          <w:rFonts w:ascii="Arial" w:hAnsi="Arial"/>
          <w:b/>
          <w:sz w:val="32"/>
          <w:lang w:val="ru-RU"/>
        </w:rPr>
        <w:t>ПРИЛОЖЕНИЕ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К Положению о проведении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right"/>
      </w:pPr>
      <w:r>
        <w:rPr>
          <w:rFonts w:ascii="Arial" w:hAnsi="Arial"/>
          <w:sz w:val="24"/>
          <w:lang w:val="ru-RU"/>
        </w:rPr>
        <w:t>аттестации муниципальных служащих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lang w:val="ru-RU"/>
        </w:rPr>
        <w:t> </w:t>
      </w:r>
    </w:p>
    <w:p>
      <w:pPr>
        <w:spacing w:line="240" w:lineRule="auto"/>
        <w:pStyle w:val="style1"/>
        <w:pBdr>
          <w:top w:val="none"/>
          <w:left w:val="none"/>
          <w:bottom w:val="none"/>
          <w:insideH w:val="none"/>
          <w:right w:val="none"/>
          <w:insideV w:val="none"/>
        </w:pBdr>
        <w:spacing w:after="60" w:before="240"/>
        <w:ind w:hanging="0" w:left="0" w:right="0"/>
        <w:contextualSpacing w:val="false"/>
        <w:jc w:val="center"/>
      </w:pPr>
      <w:r>
        <w:rPr>
          <w:rFonts w:ascii="Arial" w:hAnsi="Arial"/>
          <w:b/>
          <w:sz w:val="32"/>
          <w:lang w:val="ru-RU"/>
        </w:rPr>
        <w:t>Аттестационный лист муниципального служащего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1. Фамилия, имя, отчество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2. Год, число и месяц рождения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3. Сведения о профессиональном образовании, наличии ученой степени,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ученого звания 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(когда и какое учебное заведение окончил, специальность и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квалификация по образованию, ученая степень, ученое звание)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4. Замещаемая должность муниципальной службы на момент аттестации идата назначения на эту должность 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5. Стаж муниципальной службы 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6. Общий трудовой стаж 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7. Вопросы к муниципальному служащему и краткие ответы на них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8. Замечания и предложения, высказанные аттестационной комиссией: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9. Краткая оценка выполнения муниципальным служащим рекомендаций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предыдущей аттестации________________________________________________________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(выполнены, выполнены частично, не выполнены)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10. Решение аттестационной комиссии: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1) соответствует замещаемой должности муниципальной службы;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2) не соответствует замещаемой должности муниципальной службы.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11. Рекомендации аттестационной комиссии____________________________________________________________________________________________________________________________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12. Количественный состав аттестационной комиссии:_________________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13. На заседании присутствовало членов комиссии:___________________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14. Количество голосов "за" _____, "против" 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ru-RU"/>
        </w:rPr>
        <w:t>Примечания: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Председатель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аттестационной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комиссии ─────────────── ───────────────────-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(подпись) (расшифровка подписи)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Заместитель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председателя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аттестационной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комиссии ─────────────── ────────────────────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(подпись) (расшифровка подписи)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Секретарь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аттестационной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комиссии ─────────────── ───────────────────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(подпись) (расшифровка подписи)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Члены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аттестационной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комиссии: ─────────────── ───────────────────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(подпись) (расшифровка подписи)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  <w:t>────────────── ────────────────────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(подпись) (расшифровка подписи)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_____________________ 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(подпись) (расшифровка подписи)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Дата проведения аттестации________________________________________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С аттестационным листом ознакомился _______________________________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(подпись муниципального служащего, дата)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rFonts w:ascii="Arial" w:hAnsi="Arial"/>
          <w:sz w:val="24"/>
          <w:lang w:val="en-US"/>
          <w:lang w:val="ru-RU"/>
        </w:rPr>
        <w:t>(место для печати органа местного самоуправления)</w:t>
      </w:r>
    </w:p>
    <w:p>
      <w:pPr>
        <w:spacing w:line="240" w:lineRule="auto"/>
        <w:pStyle w:val="style27"/>
        <w:spacing w:after="0" w:before="0"/>
        <w:ind w:firstLine="567" w:left="0" w:right="0"/>
        <w:contextualSpacing w:val="false"/>
        <w:jc w:val="both"/>
      </w:pPr>
      <w:r>
        <w:rPr>
          <w:lang w:val="ru-RU"/>
        </w:rPr>
      </w:r>
    </w:p>
    <w:sectPr>
      <w:pgSz w:h="16838" w:w="11906"/>
      <w:top w:val="none"/>
      <w:left w:val="none"/>
      <w:bottom w:val="none"/>
      <w:insideH w:val="none"/>
      <w:right w:val="none"/>
      <w:insideV w:val="none"/>
      <w:formProt w:val="false"/>
      <w:textDirection w:val="lrTb"/>
      <w:pgNumType w:fmt="decimal"/>
      <w:type w:val="nextPage"/>
      <w:pgMar w:bottom="567" w:footer="0" w:gutter="0" w:header="0" w:left="1134" w:right="567" w:top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150" w:before="150"/>
      <w:ind w:hanging="0" w:left="150" w:right="150"/>
      <w:contextualSpacing w:val="false"/>
    </w:pPr>
    <w:rPr>
      <w:rFonts w:ascii="Arial" w:cs="Lohit Devanagari" w:eastAsia="AR PL UMing HK" w:hAnsi="Arial"/>
      <w:color w:val="000000"/>
      <w:sz w:val="24"/>
      <w:szCs w:val="24"/>
      <w:lang w:bidi="hi-IN" w:eastAsia="zh-CN" w:val="ru-RU"/>
    </w:rPr>
  </w:style>
  <w:style w:styleId="style1" w:type="paragraph">
    <w:name w:val="Heading 1"/>
    <w:basedOn w:val="style28"/>
    <w:next w:val="style27"/>
    <w:pPr/>
    <w:rPr>
      <w:rFonts w:ascii="Thorndale" w:hAnsi="Thorndale"/>
      <w:b/>
      <w:bCs/>
      <w:sz w:val="48"/>
      <w:szCs w:val="44"/>
    </w:rPr>
  </w:style>
  <w:style w:styleId="style15" w:type="character">
    <w:name w:val="Endnote Characters"/>
    <w:next w:val="style15"/>
    <w:rPr/>
  </w:style>
  <w:style w:styleId="style16" w:type="character">
    <w:name w:val="Footnote Characters"/>
    <w:next w:val="style16"/>
    <w:rPr/>
  </w:style>
  <w:style w:styleId="style17" w:type="character">
    <w:name w:val="Internet Link"/>
    <w:next w:val="style17"/>
    <w:rPr>
      <w:color w:val="000080"/>
      <w:u w:val="single"/>
    </w:rPr>
  </w:style>
  <w:style w:styleId="style18" w:type="character">
    <w:name w:val="Strong Emphasis"/>
    <w:next w:val="style18"/>
    <w:rPr>
      <w:b/>
      <w:bCs/>
    </w:rPr>
  </w:style>
  <w:style w:styleId="style19" w:type="paragraph">
    <w:name w:val="Horizontal Line"/>
    <w:basedOn w:val="style0"/>
    <w:next w:val="style27"/>
    <w:pPr>
      <w:pBdr>
        <w:top w:val="none"/>
        <w:left w:val="none"/>
        <w:bottom w:color="808080" w:space="0" w:sz="2" w:val="double"/>
        <w:insideH w:color="808080" w:space="0" w:sz="2" w:val="double"/>
        <w:right w:val="none"/>
        <w:insideV w:val="none"/>
      </w:pBdr>
      <w:spacing w:after="283" w:before="0"/>
      <w:contextualSpacing w:val="false"/>
    </w:pPr>
    <w:rPr>
      <w:sz w:val="12"/>
    </w:rPr>
  </w:style>
  <w:style w:styleId="style20" w:type="paragraph">
    <w:name w:val="Sender"/>
    <w:basedOn w:val="style0"/>
    <w:next w:val="style20"/>
    <w:pPr/>
    <w:rPr>
      <w:i/>
    </w:rPr>
  </w:style>
  <w:style w:styleId="style21" w:type="paragraph">
    <w:name w:val="Table Contents"/>
    <w:basedOn w:val="style27"/>
    <w:next w:val="style21"/>
    <w:pPr/>
    <w:rPr/>
  </w:style>
  <w:style w:styleId="style22" w:type="paragraph">
    <w:name w:val="Footer"/>
    <w:basedOn w:val="style0"/>
    <w:next w:val="style22"/>
    <w:pPr>
      <w:suppressLineNumbers/>
      <w:tabs>
        <w:tab w:leader="none" w:pos="4968" w:val="center"/>
        <w:tab w:leader="none" w:pos="9787" w:val="right"/>
      </w:tabs>
    </w:pPr>
    <w:rPr/>
  </w:style>
  <w:style w:styleId="style23" w:type="paragraph">
    <w:name w:val="Header"/>
    <w:basedOn w:val="style0"/>
    <w:next w:val="style23"/>
    <w:pPr>
      <w:suppressLineNumbers/>
      <w:tabs>
        <w:tab w:leader="none" w:pos="4968" w:val="center"/>
        <w:tab w:leader="none" w:pos="9787" w:val="right"/>
      </w:tabs>
    </w:pPr>
    <w:rPr/>
  </w:style>
  <w:style w:styleId="style24" w:type="paragraph">
    <w:name w:val="Index"/>
    <w:basedOn w:val="style0"/>
    <w:next w:val="style24"/>
    <w:pPr>
      <w:suppressLineNumbers/>
    </w:pPr>
    <w:rPr>
      <w:rFonts w:cs="Lohit Devanagari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6" w:type="paragraph">
    <w:name w:val="List"/>
    <w:basedOn w:val="style27"/>
    <w:next w:val="style26"/>
    <w:pPr/>
    <w:rPr>
      <w:rFonts w:cs="Lohit Devanagari"/>
    </w:rPr>
  </w:style>
  <w:style w:styleId="style27" w:type="paragraph">
    <w:name w:val="Text Body"/>
    <w:basedOn w:val="style0"/>
    <w:next w:val="style27"/>
    <w:pPr>
      <w:spacing w:after="283" w:before="0"/>
      <w:contextualSpacing w:val="false"/>
    </w:pPr>
    <w:rPr/>
  </w:style>
  <w:style w:styleId="style28" w:type="paragraph">
    <w:name w:val="Heading"/>
    <w:basedOn w:val="style0"/>
    <w:next w:val="style27"/>
    <w:pPr>
      <w:keepNext/>
      <w:spacing w:after="283" w:before="240"/>
      <w:contextualSpacing w:val="false"/>
    </w:pPr>
    <w:rPr>
      <w:rFonts w:ascii="Albany" w:hAnsi="Albany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